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Default Extension="jpg" ContentType="image/jpeg"/>
  <Default Extension="png" ContentType="image/png"/>
  <Default Extension="wmf" ContentType="image/x-wmf"/>
  <Default Extension="emf" ContentType="image/x-emf"/>
  <Override PartName="/document.xml" ContentType="application/vnd.openxmlformats-officedocument.wordprocessingml.document.main+xml"/>
  <Override PartName="/settings.xml" ContentType="application/vnd.openxmlformats-officedocument.wordprocessingml.settings+xml"/>
  <Override PartName="/fonts.xml" ContentType="application/vnd.openxmlformats-officedocument.wordprocessingml.fontTable+xml"/>
  <Override PartName="/numbering.xml" ContentType="application/vnd.openxmlformats-officedocument.wordprocessingml.numbering+xml"/>
  <Override PartName="/footnotes.xml" ContentType="application/vnd.openxmlformats-officedocument.wordprocessingml.footnotes+xml"/>
  <Override PartName="/header1.xml" ContentType="application/vnd.openxmlformats-officedocument.wordprocessingml.header+xml"/>
  <Override PartName="/footer1.xml" ContentType="application/vnd.openxmlformats-officedocument.wordprocessingml.footer+xml"/>
</Types>
</file>

<file path=_rels/.rels><?xml version="1.0" encoding="UTF-8"?>
<Relationships xmlns="http://schemas.openxmlformats.org/package/2006/relationships">
  <Relationship Id="r1"
    Type="http://schemas.openxmlformats.org/officeDocument/2006/relationships/officeDocument"
    Target="document.xml"/>
</Relationships>

</file>

<file path=_rels/document.xml.rels><?xml version="1.0" encoding="UTF-8"?>
<Relationships xmlns="http://schemas.openxmlformats.org/package/2006/relationships">
  <Relationship Id="r1"
    Type="http://schemas.openxmlformats.org/officeDocument/2006/relationships/settings"
    Target="settings.xml"/>
  <Relationship Id="r2"
    Type="http://schemas.openxmlformats.org/officeDocument/2006/relationships/fontTable"
    Target="fonts.xml"/>
  <Relationship Id="r3"
    Type="http://schemas.openxmlformats.org/officeDocument/2006/relationships/numbering"
    Target="numbering.xml"/>
  <Relationship Id="r4"
    Type="http://schemas.openxmlformats.org/officeDocument/2006/relationships/footnotes"
    Target="footnotes.xml"/>
  <Relationship Id="r5"
    Type="http://schemas.openxmlformats.org/officeDocument/2006/relationships/header"
    Target="header1.xml"/>
  <Relationship Id="r6"
    Type="http://schemas.openxmlformats.org/officeDocument/2006/relationships/footer"
    Target="footer1.xml"/>
  <Relationship Id="r7"
    Type="http://schemas.openxmlformats.org/officeDocument/2006/relationships/hyperlink"
    TargetMode="External"
    Target="https://www.westlaw.com/Link/Document/FullText?findType=h&amp;pubNum=176284&amp;cite=0242664401&amp;originatingDoc=If661ba714a5f11db99a18fc28eb0d9ae&amp;refType=RQ&amp;originationContext=document&amp;vr=3.0&amp;rs=cblt1.0&amp;transitionType=DocumentItem&amp;contextData=(sc.DocLink)"/>
  <Relationship Id="r8"
    Type="http://schemas.openxmlformats.org/officeDocument/2006/relationships/hyperlink"
    TargetMode="External"
    Target="https://www.westlaw.com/Link/Document/FullText?findType=L&amp;pubNum=1004365&amp;cite=USFRCPR8&amp;originatingDoc=If661ba714a5f11db99a18fc28eb0d9ae&amp;refType=LQ&amp;originationContext=document&amp;vr=3.0&amp;rs=cblt1.0&amp;transitionType=DocumentItem&amp;contextData=(sc.DocLink)"/>
  <Relationship Id="r9"
    Type="http://schemas.openxmlformats.org/officeDocument/2006/relationships/hyperlink"
    TargetMode="External"
    Target="https://www.westlaw.com/Link/Document/FullText?findType=L&amp;pubNum=1004365&amp;cite=USFRCPR8&amp;originatingDoc=If661ba714a5f11db99a18fc28eb0d9ae&amp;refType=LQ&amp;originationContext=document&amp;vr=3.0&amp;rs=cblt1.0&amp;transitionType=DocumentItem&amp;contextData=(sc.DocLink)"/>
  <Relationship Id="r10"
    Type="http://schemas.openxmlformats.org/officeDocument/2006/relationships/hyperlink"
    TargetMode="External"
    Target="https://www.westlaw.com/Link/Document/FullText?findType=L&amp;pubNum=1004365&amp;cite=USFRCPR36&amp;originatingDoc=If661ba714a5f11db99a18fc28eb0d9ae&amp;refType=LQ&amp;originationContext=document&amp;vr=3.0&amp;rs=cblt1.0&amp;transitionType=DocumentItem&amp;contextData=(sc.DocLink)"/>
  <Relationship Id="r11"
    Type="http://schemas.openxmlformats.org/officeDocument/2006/relationships/hyperlink"
    TargetMode="External"
    Target="https://www.westlaw.com/Link/Document/FullText?findType=L&amp;pubNum=1004365&amp;cite=USFRCPR8&amp;originatingDoc=If661ba714a5f11db99a18fc28eb0d9ae&amp;refType=LQ&amp;originationContext=document&amp;vr=3.0&amp;rs=cblt1.0&amp;transitionType=DocumentItem&amp;contextData=(sc.DocLink)"/>
  <Relationship Id="r12"
    Type="http://schemas.openxmlformats.org/officeDocument/2006/relationships/hyperlink"
    TargetMode="External"
    Target="https://www.westlaw.com/Link/Document/FullText?findType=L&amp;pubNum=1004365&amp;cite=USFRCPR8&amp;originatingDoc=If661ba714a5f11db99a18fc28eb0d9ae&amp;refType=LQ&amp;originationContext=document&amp;vr=3.0&amp;rs=cblt1.0&amp;transitionType=DocumentItem&amp;contextData=(sc.DocLink)"/>
  <Relationship Id="r13"
    Type="http://schemas.openxmlformats.org/officeDocument/2006/relationships/hyperlink"
    TargetMode="External"
    Target="https://www.westlaw.com/Link/Document/FullText?findType=L&amp;pubNum=1004365&amp;cite=USFRCPR8&amp;originatingDoc=If661ba714a5f11db99a18fc28eb0d9ae&amp;refType=LQ&amp;originationContext=document&amp;vr=3.0&amp;rs=cblt1.0&amp;transitionType=DocumentItem&amp;contextData=(sc.DocLink)"/>
  <Relationship Id="r14"
    Type="http://schemas.openxmlformats.org/officeDocument/2006/relationships/hyperlink"
    TargetMode="External"
    Target="https://www.westlaw.com/Link/Document/FullText?findType=Y&amp;serNum=1982145037&amp;pubNum=350&amp;originatingDoc=If661ba714a5f11db99a18fc28eb0d9ae&amp;refType=RP&amp;fi=co_pp_sp_350_599&amp;originationContext=document&amp;vr=3.0&amp;rs=cblt1.0&amp;transitionType=DocumentItem&amp;contextData=(sc.DocLink)#co_pp_sp_350_599"/>
  <Relationship Id="r15"
    Type="http://schemas.openxmlformats.org/officeDocument/2006/relationships/hyperlink"
    TargetMode="External"
    Target="https://www.westlaw.com/Link/Document/FullText?findType=Y&amp;serNum=1956110515&amp;pubNum=350&amp;originatingDoc=If661ba714a5f11db99a18fc28eb0d9ae&amp;refType=RP&amp;fi=co_pp_sp_350_438&amp;originationContext=document&amp;vr=3.0&amp;rs=cblt1.0&amp;transitionType=DocumentItem&amp;contextData=(sc.DocLink)#co_pp_sp_350_438"/>
  <Relationship Id="r16"
    Type="http://schemas.openxmlformats.org/officeDocument/2006/relationships/hyperlink"
    TargetMode="External"
    Target="https://www.westlaw.com/Link/Document/FullText?findType=Y&amp;serNum=0100997741&amp;pubNum=1268&amp;originatingDoc=If661ba714a5f11db99a18fc28eb0d9ae&amp;refType=LR&amp;fi=co_pp_sp_1268_1713&amp;originationContext=document&amp;vr=3.0&amp;rs=cblt1.0&amp;transitionType=DocumentItem&amp;contextData=(sc.DocLink)#co_pp_sp_1268_1713"/>
  <Relationship Id="r17"
    Type="http://schemas.openxmlformats.org/officeDocument/2006/relationships/hyperlink"
    TargetMode="External"
    Target="https://www.westlaw.com/Link/Document/FullText?findType=Y&amp;serNum=1990124250&amp;pubNum=350&amp;originatingDoc=If661ba714a5f11db99a18fc28eb0d9ae&amp;refType=RP&amp;fi=co_pp_sp_350_1217&amp;originationContext=document&amp;vr=3.0&amp;rs=cblt1.0&amp;transitionType=DocumentItem&amp;contextData=(sc.DocLink)#co_pp_sp_350_1217"/>
  <Relationship Id="r18"
    Type="http://schemas.openxmlformats.org/officeDocument/2006/relationships/hyperlink"
    TargetMode="External"
    Target="https://www.westlaw.com/Link/Document/FullText?findType=Y&amp;pubNum=0102228&amp;cite=18FPPs4477&amp;originatingDoc=If661ba714a5f11db99a18fc28eb0d9ae&amp;refType=TS&amp;originationContext=document&amp;vr=3.0&amp;rs=cblt1.0&amp;transitionType=DocumentItem&amp;contextData=(sc.DocLink)"/>
  <Relationship Id="r19"
    Type="http://schemas.openxmlformats.org/officeDocument/2006/relationships/hyperlink"
    TargetMode="External"
    Target="https://www.westlaw.com/Link/Document/FullText?findType=Y&amp;serNum=1996172382&amp;pubNum=506&amp;originatingDoc=If661ba714a5f11db99a18fc28eb0d9ae&amp;refType=RP&amp;fi=co_pp_sp_506_617&amp;originationContext=document&amp;vr=3.0&amp;rs=cblt1.0&amp;transitionType=DocumentItem&amp;contextData=(sc.DocLink)#co_pp_sp_506_617"/>
  <Relationship Id="r20"
    Type="http://schemas.openxmlformats.org/officeDocument/2006/relationships/hyperlink"
    TargetMode="External"
    Target="https://www.westlaw.com/Link/Document/FullText?findType=Y&amp;serNum=1941120544&amp;pubNum=350&amp;originatingDoc=If661ba714a5f11db99a18fc28eb0d9ae&amp;refType=RP&amp;fi=co_pp_sp_350_726&amp;originationContext=document&amp;vr=3.0&amp;rs=cblt1.0&amp;transitionType=DocumentItem&amp;contextData=(sc.DocLink)#co_pp_sp_350_726"/>
  <Relationship Id="r21"
    Type="http://schemas.openxmlformats.org/officeDocument/2006/relationships/hyperlink"
    TargetMode="External"
    Target="https://www.westlaw.com/Link/Document/FullText?findType=Y&amp;serNum=0101984686&amp;pubNum=1147&amp;originatingDoc=If661ba714a5f11db99a18fc28eb0d9ae&amp;refType=LR&amp;fi=co_pp_sp_1147_418&amp;originationContext=document&amp;vr=3.0&amp;rs=cblt1.0&amp;transitionType=DocumentItem&amp;contextData=(sc.DocLink)#co_pp_sp_1147_418"/>
  <Relationship Id="r22"
    Type="http://schemas.openxmlformats.org/officeDocument/2006/relationships/hyperlink"
    TargetMode="External"
    Target="https://www.westlaw.com/Link/Document/FullText?findType=Y&amp;serNum=0108232277&amp;pubNum=3039&amp;originatingDoc=If661ba714a5f11db99a18fc28eb0d9ae&amp;refType=LR&amp;fi=co_pp_sp_3039_877&amp;originationContext=document&amp;vr=3.0&amp;rs=cblt1.0&amp;transitionType=DocumentItem&amp;contextData=(sc.DocLink)#co_pp_sp_3039_877"/>
  <Relationship Id="r23"
    Type="http://schemas.openxmlformats.org/officeDocument/2006/relationships/hyperlink"
    TargetMode="External"
    Target="https://www.westlaw.com/Link/Document/FullText?findType=Y&amp;serNum=1989129894&amp;pubNum=350&amp;originatingDoc=If661ba714a5f11db99a18fc28eb0d9ae&amp;refType=RP&amp;fi=co_pp_sp_350_588&amp;originationContext=document&amp;vr=3.0&amp;rs=cblt1.0&amp;transitionType=DocumentItem&amp;contextData=(sc.DocLink)#co_pp_sp_350_588"/>
  <Relationship Id="r24"
    Type="http://schemas.openxmlformats.org/officeDocument/2006/relationships/hyperlink"
    TargetMode="External"
    Target="https://www.westlaw.com/Link/Document/FullText?findType=Y&amp;serNum=1990124250&amp;pubNum=350&amp;originatingDoc=If661ba714a5f11db99a18fc28eb0d9ae&amp;refType=RP&amp;fi=co_pp_sp_350_1218&amp;originationContext=document&amp;vr=3.0&amp;rs=cblt1.0&amp;transitionType=DocumentItem&amp;contextData=(sc.DocLink)#co_pp_sp_350_1218"/>
  <Relationship Id="r25"
    Type="http://schemas.openxmlformats.org/officeDocument/2006/relationships/hyperlink"
    TargetMode="External"
    Target="https://www.westlaw.com/Link/Document/FullText?findType=Y&amp;serNum=1968119726&amp;pubNum=350&amp;originatingDoc=If661ba714a5f11db99a18fc28eb0d9ae&amp;refType=RP&amp;fi=co_pp_sp_350_550&amp;originationContext=document&amp;vr=3.0&amp;rs=cblt1.0&amp;transitionType=DocumentItem&amp;contextData=(sc.DocLink)#co_pp_sp_350_550"/>
  <Relationship Id="r26"
    Type="http://schemas.openxmlformats.org/officeDocument/2006/relationships/hyperlink"
    TargetMode="External"
    Target="https://www.westlaw.com/Link/Document/FullText?findType=Y&amp;serNum=1968119726&amp;pubNum=350&amp;originatingDoc=If661ba714a5f11db99a18fc28eb0d9ae&amp;refType=RP&amp;fi=co_pp_sp_350_550&amp;originationContext=document&amp;vr=3.0&amp;rs=cblt1.0&amp;transitionType=DocumentItem&amp;contextData=(sc.DocLink)#co_pp_sp_350_550"/>
  <Relationship Id="r27"
    Type="http://schemas.openxmlformats.org/officeDocument/2006/relationships/hyperlink"
    TargetMode="External"
    Target="https://www.westlaw.com/Link/Document/FullText?findType=Y&amp;serNum=1996177411&amp;pubNum=506&amp;originatingDoc=If661ba714a5f11db99a18fc28eb0d9ae&amp;refType=RP&amp;fi=co_pp_sp_506_223&amp;originationContext=document&amp;vr=3.0&amp;rs=cblt1.0&amp;transitionType=DocumentItem&amp;contextData=(sc.DocLink)#co_pp_sp_506_223"/>
  <Relationship Id="r28"
    Type="http://schemas.openxmlformats.org/officeDocument/2006/relationships/hyperlink"
    TargetMode="External"
    Target="https://www.westlaw.com/Link/Document/FullText?findType=Y&amp;serNum=1990079842&amp;pubNum=350&amp;originatingDoc=If661ba714a5f11db99a18fc28eb0d9ae&amp;refType=RP&amp;fi=co_pp_sp_350_241&amp;originationContext=document&amp;vr=3.0&amp;rs=cblt1.0&amp;transitionType=DocumentItem&amp;contextData=(sc.DocLink)#co_pp_sp_350_241"/>
  <Relationship Id="r29"
    Type="http://schemas.openxmlformats.org/officeDocument/2006/relationships/hyperlink"
    TargetMode="External"
    Target="https://www.westlaw.com/Link/Document/FullText?findType=Y&amp;serNum=0107954492&amp;pubNum=1252&amp;originatingDoc=If661ba714a5f11db99a18fc28eb0d9ae&amp;refType=LR&amp;fi=co_pp_sp_1252_819&amp;originationContext=document&amp;vr=3.0&amp;rs=cblt1.0&amp;transitionType=DocumentItem&amp;contextData=(sc.DocLink)#co_pp_sp_1252_819"/>
  <Relationship Id="r30"
    Type="http://schemas.openxmlformats.org/officeDocument/2006/relationships/hyperlink"
    TargetMode="External"
    Target="https://www.westlaw.com/Link/Document/FullText?findType=Y&amp;serNum=1982145037&amp;pubNum=350&amp;originatingDoc=If661ba714a5f11db99a18fc28eb0d9ae&amp;refType=RP&amp;originationContext=document&amp;vr=3.0&amp;rs=cblt1.0&amp;transitionType=DocumentItem&amp;contextData=(sc.DocLink)"/>
  <Relationship Id="r31"
    Type="http://schemas.openxmlformats.org/officeDocument/2006/relationships/hyperlink"
    TargetMode="External"
    Target="https://www.westlaw.com/Link/Document/FullText?findType=Y&amp;serNum=1982145037&amp;originatingDoc=If661ba714a5f11db99a18fc28eb0d9ae&amp;refType=RP&amp;originationContext=document&amp;vr=3.0&amp;rs=cblt1.0&amp;transitionType=DocumentItem&amp;contextData=(sc.DocLink)"/>
  <Relationship Id="r32"
    Type="http://schemas.openxmlformats.org/officeDocument/2006/relationships/hyperlink"
    TargetMode="External"
    Target="https://www.westlaw.com/Link/Document/FullText?findType=Y&amp;serNum=0102730002&amp;pubNum=1214&amp;originatingDoc=If661ba714a5f11db99a18fc28eb0d9ae&amp;refType=LR&amp;fi=co_pp_sp_1214_1248&amp;originationContext=document&amp;vr=3.0&amp;rs=cblt1.0&amp;transitionType=DocumentItem&amp;contextData=(sc.DocLink)#co_pp_sp_1214_1248"/>
  <Relationship Id="r33"
    Type="http://schemas.openxmlformats.org/officeDocument/2006/relationships/hyperlink"
    TargetMode="External"
    Target="https://www.westlaw.com/Link/Document/FullText?findType=Y&amp;serNum=1857003478&amp;pubNum=757&amp;originatingDoc=If661ba714a5f11db99a18fc28eb0d9ae&amp;refType=RP&amp;originationContext=document&amp;vr=3.0&amp;rs=cblt1.0&amp;transitionType=DocumentItem&amp;contextData=(sc.DocLink)"/>
  <Relationship Id="r34"
    Type="http://schemas.openxmlformats.org/officeDocument/2006/relationships/hyperlink"
    TargetMode="External"
    Target="https://www.westlaw.com/Link/Document/FullText?findType=Y&amp;serNum=1953119452&amp;pubNum=350&amp;originatingDoc=If661ba714a5f11db99a18fc28eb0d9ae&amp;refType=RP&amp;fi=co_pp_sp_350_513&amp;originationContext=document&amp;vr=3.0&amp;rs=cblt1.0&amp;transitionType=DocumentItem&amp;contextData=(sc.DocLink)#co_pp_sp_350_513"/>
  <Relationship Id="r35"
    Type="http://schemas.openxmlformats.org/officeDocument/2006/relationships/hyperlink"
    TargetMode="External"
    Target="https://www.westlaw.com/Link/Document/FullText?findType=Y&amp;serNum=1992128149&amp;pubNum=345&amp;originatingDoc=If661ba714a5f11db99a18fc28eb0d9ae&amp;refType=RP&amp;fi=co_pp_sp_345_227&amp;originationContext=document&amp;vr=3.0&amp;rs=cblt1.0&amp;transitionType=DocumentItem&amp;contextData=(sc.DocLink)#co_pp_sp_345_227"/>
  <Relationship Id="r36"
    Type="http://schemas.openxmlformats.org/officeDocument/2006/relationships/hyperlink"
    TargetMode="External"
    Target="https://www.westlaw.com/Link/Document/FullText?findType=Y&amp;serNum=1953119452&amp;pubNum=350&amp;originatingDoc=If661ba714a5f11db99a18fc28eb0d9ae&amp;refType=RP&amp;fi=co_pp_sp_350_513&amp;originationContext=document&amp;vr=3.0&amp;rs=cblt1.0&amp;transitionType=DocumentItem&amp;contextData=(sc.DocLink)#co_pp_sp_350_513"/>
  <Relationship Id="r37"
    Type="http://schemas.openxmlformats.org/officeDocument/2006/relationships/hyperlink"
    TargetMode="External"
    Target="https://www.westlaw.com/Link/Document/FullText?findType=Y&amp;serNum=1997048245&amp;pubNum=713&amp;originatingDoc=If661ba714a5f11db99a18fc28eb0d9ae&amp;refType=RP&amp;fi=co_pp_sp_713_650&amp;originationContext=document&amp;vr=3.0&amp;rs=cblt1.0&amp;transitionType=DocumentItem&amp;contextData=(sc.DocLink)#co_pp_sp_713_650"/>
  <Relationship Id="r38"
    Type="http://schemas.openxmlformats.org/officeDocument/2006/relationships/hyperlink"
    TargetMode="External"
    Target="https://www.westlaw.com/Link/Document/FullText?findType=Y&amp;serNum=1957100365&amp;pubNum=350&amp;originatingDoc=If661ba714a5f11db99a18fc28eb0d9ae&amp;refType=RP&amp;fi=co_pp_sp_350_837&amp;originationContext=document&amp;vr=3.0&amp;rs=cblt1.0&amp;transitionType=DocumentItem&amp;contextData=(sc.DocLink)#co_pp_sp_350_837"/>
  <Relationship Id="r39"
    Type="http://schemas.openxmlformats.org/officeDocument/2006/relationships/hyperlink"
    TargetMode="External"
    Target="https://www.westlaw.com/Link/Document/FullText?findType=Y&amp;serNum=1996177411&amp;pubNum=506&amp;originatingDoc=If661ba714a5f11db99a18fc28eb0d9ae&amp;refType=RP&amp;fi=co_pp_sp_506_223&amp;originationContext=document&amp;vr=3.0&amp;rs=cblt1.0&amp;transitionType=DocumentItem&amp;contextData=(sc.DocLink)#co_pp_sp_506_223"/>
  <Relationship Id="r40"
    Type="http://schemas.openxmlformats.org/officeDocument/2006/relationships/hyperlink"
    TargetMode="External"
    Target="https://www.westlaw.com/Link/Document/FullText?findType=Y&amp;serNum=1996177411&amp;pubNum=506&amp;originatingDoc=If661ba714a5f11db99a18fc28eb0d9ae&amp;refType=RP&amp;fi=co_pp_sp_506_223&amp;originationContext=document&amp;vr=3.0&amp;rs=cblt1.0&amp;transitionType=DocumentItem&amp;contextData=(sc.DocLink)#co_pp_sp_506_223"/>
  <Relationship Id="r41"
    Type="http://schemas.openxmlformats.org/officeDocument/2006/relationships/hyperlink"
    TargetMode="External"
    Target="https://www.westlaw.com/Link/Document/FullText?findType=Y&amp;serNum=1993136144&amp;pubNum=350&amp;originatingDoc=If661ba714a5f11db99a18fc28eb0d9ae&amp;refType=RP&amp;fi=co_pp_sp_350_1038&amp;originationContext=document&amp;vr=3.0&amp;rs=cblt1.0&amp;transitionType=DocumentItem&amp;contextData=(sc.DocLink)#co_pp_sp_350_1038"/>
  <Relationship Id="r42"
    Type="http://schemas.openxmlformats.org/officeDocument/2006/relationships/hyperlink"
    TargetMode="External"
    Target="https://www.westlaw.com/Link/Document/FullText?findType=Y&amp;serNum=1996154133&amp;pubNum=661&amp;originatingDoc=If661ba714a5f11db99a18fc28eb0d9ae&amp;refType=RP&amp;fi=co_pp_sp_661_305&amp;originationContext=document&amp;vr=3.0&amp;rs=cblt1.0&amp;transitionType=DocumentItem&amp;contextData=(sc.DocLink)#co_pp_sp_661_305"/>
  <Relationship Id="r43"
    Type="http://schemas.openxmlformats.org/officeDocument/2006/relationships/hyperlink"
    TargetMode="External"
    Target="https://www.westlaw.com/Link/Document/FullText?findType=Y&amp;serNum=1982101082&amp;pubNum=350&amp;originatingDoc=If661ba714a5f11db99a18fc28eb0d9ae&amp;refType=RP&amp;fi=co_pp_sp_350_1167&amp;originationContext=document&amp;vr=3.0&amp;rs=cblt1.0&amp;transitionType=DocumentItem&amp;contextData=(sc.DocLink)#co_pp_sp_350_1167"/>
  <Relationship Id="r44"
    Type="http://schemas.openxmlformats.org/officeDocument/2006/relationships/hyperlink"
    TargetMode="External"
    Target="https://www.westlaw.com/Link/Document/FullText?findType=Y&amp;serNum=1995195809&amp;pubNum=506&amp;originatingDoc=If661ba714a5f11db99a18fc28eb0d9ae&amp;refType=RP&amp;fi=co_pp_sp_506_1505&amp;originationContext=document&amp;vr=3.0&amp;rs=cblt1.0&amp;transitionType=DocumentItem&amp;contextData=(sc.DocLink)#co_pp_sp_506_1505"/>
  <Relationship Id="r45"
    Type="http://schemas.openxmlformats.org/officeDocument/2006/relationships/hyperlink"
    TargetMode="External"
    Target="https://www.westlaw.com/Link/Document/FullText?findType=Y&amp;serNum=0343571322&amp;pubNum=3084&amp;originatingDoc=If661ba714a5f11db99a18fc28eb0d9ae&amp;refType=LR&amp;fi=co_pp_sp_3084_1136&amp;originationContext=document&amp;vr=3.0&amp;rs=cblt1.0&amp;transitionType=DocumentItem&amp;contextData=(sc.DocLink)#co_pp_sp_3084_1136"/>
  <Relationship Id="r46"
    Type="http://schemas.openxmlformats.org/officeDocument/2006/relationships/hyperlink"
    TargetMode="External"
    Target="https://www.westlaw.com/Link/Document/FullText?findType=Y&amp;serNum=1992167512&amp;pubNum=345&amp;originatingDoc=If661ba714a5f11db99a18fc28eb0d9ae&amp;refType=RP&amp;fi=co_pp_sp_345_175&amp;originationContext=document&amp;vr=3.0&amp;rs=cblt1.0&amp;transitionType=DocumentItem&amp;contextData=(sc.DocLink)#co_pp_sp_345_175"/>
  <Relationship Id="r47"
    Type="http://schemas.openxmlformats.org/officeDocument/2006/relationships/hyperlink"
    TargetMode="External"
    Target="https://www.westlaw.com/Link/Document/FullText?findType=Y&amp;serNum=1986155284&amp;pubNum=345&amp;originatingDoc=If661ba714a5f11db99a18fc28eb0d9ae&amp;refType=RP&amp;fi=co_pp_sp_345_1448&amp;originationContext=document&amp;vr=3.0&amp;rs=cblt1.0&amp;transitionType=DocumentItem&amp;contextData=(sc.DocLink)#co_pp_sp_345_1448"/>
  <Relationship Id="r48"
    Type="http://schemas.openxmlformats.org/officeDocument/2006/relationships/hyperlink"
    TargetMode="External"
    Target="https://www.westlaw.com/Link/Document/FullText?findType=Y&amp;serNum=1996093413&amp;pubNum=506&amp;originatingDoc=If661ba714a5f11db99a18fc28eb0d9ae&amp;refType=RP&amp;fi=co_pp_sp_506_360&amp;originationContext=document&amp;vr=3.0&amp;rs=cblt1.0&amp;transitionType=DocumentItem&amp;contextData=(sc.DocLink)#co_pp_sp_506_360"/>
  <Relationship Id="r49"
    Type="http://schemas.openxmlformats.org/officeDocument/2006/relationships/hyperlink"
    TargetMode="External"
    Target="https://www.westlaw.com/Link/Document/FullText?findType=Y&amp;serNum=1997207261&amp;pubNum=506&amp;originatingDoc=If661ba714a5f11db99a18fc28eb0d9ae&amp;refType=RP&amp;fi=co_pp_sp_506_72&amp;originationContext=document&amp;vr=3.0&amp;rs=cblt1.0&amp;transitionType=DocumentItem&amp;contextData=(sc.DocLink)#co_pp_sp_506_72"/>
  <Relationship Id="r50"
    Type="http://schemas.openxmlformats.org/officeDocument/2006/relationships/hyperlink"
    TargetMode="External"
    Target="https://www.westlaw.com/Link/Document/FullText?findType=Y&amp;serNum=1984153087&amp;pubNum=350&amp;originatingDoc=If661ba714a5f11db99a18fc28eb0d9ae&amp;refType=RP&amp;fi=co_pp_sp_350_1579&amp;originationContext=document&amp;vr=3.0&amp;rs=cblt1.0&amp;transitionType=DocumentItem&amp;contextData=(sc.DocLink)#co_pp_sp_350_1579"/>
  <Relationship Id="r51"
    Type="http://schemas.openxmlformats.org/officeDocument/2006/relationships/hyperlink"
    TargetMode="External"
    Target="https://www.westlaw.com/Link/Document/FullText?findType=Y&amp;serNum=1994201769&amp;pubNum=506&amp;originatingDoc=If661ba714a5f11db99a18fc28eb0d9ae&amp;refType=RP&amp;fi=co_pp_sp_506_23&amp;originationContext=document&amp;vr=3.0&amp;rs=cblt1.0&amp;transitionType=DocumentItem&amp;contextData=(sc.DocLink)#co_pp_sp_506_23"/>
  <Relationship Id="r52"
    Type="http://schemas.openxmlformats.org/officeDocument/2006/relationships/hyperlink"
    TargetMode="External"
    Target="https://www.westlaw.com/Link/Document/FullText?findType=Y&amp;serNum=1993136144&amp;pubNum=350&amp;originatingDoc=If661ba714a5f11db99a18fc28eb0d9ae&amp;refType=RP&amp;fi=co_pp_sp_350_1038&amp;originationContext=document&amp;vr=3.0&amp;rs=cblt1.0&amp;transitionType=DocumentItem&amp;contextData=(sc.DocLink)#co_pp_sp_350_1038"/>
  <Relationship Id="r53"
    Type="http://schemas.openxmlformats.org/officeDocument/2006/relationships/hyperlink"
    TargetMode="External"
    Target="https://www.westlaw.com/Link/Document/FullText?findType=Y&amp;serNum=1996199909&amp;pubNum=506&amp;originatingDoc=If661ba714a5f11db99a18fc28eb0d9ae&amp;refType=RP&amp;fi=co_pp_sp_506_605&amp;originationContext=document&amp;vr=3.0&amp;rs=cblt1.0&amp;transitionType=DocumentItem&amp;contextData=(sc.DocLink)#co_pp_sp_506_605"/>
  <Relationship Id="r54"
    Type="http://schemas.openxmlformats.org/officeDocument/2006/relationships/hyperlink"
    TargetMode="External"
    Target="https://www.westlaw.com/Link/Document/FullText?findType=Y&amp;serNum=1993045477&amp;pubNum=350&amp;originatingDoc=If661ba714a5f11db99a18fc28eb0d9ae&amp;refType=RP&amp;fi=co_pp_sp_350_362&amp;originationContext=document&amp;vr=3.0&amp;rs=cblt1.0&amp;transitionType=DocumentItem&amp;contextData=(sc.DocLink)#co_pp_sp_350_362"/>
  <Relationship Id="r55"
    Type="http://schemas.openxmlformats.org/officeDocument/2006/relationships/hyperlink"
    TargetMode="External"
    Target="https://www.westlaw.com/Link/Document/FullText?findType=Y&amp;serNum=1997207261&amp;pubNum=506&amp;originatingDoc=If661ba714a5f11db99a18fc28eb0d9ae&amp;refType=RP&amp;fi=co_pp_sp_506_72&amp;originationContext=document&amp;vr=3.0&amp;rs=cblt1.0&amp;transitionType=DocumentItem&amp;contextData=(sc.DocLink)#co_pp_sp_506_72"/>
  <Relationship Id="r56"
    Type="http://schemas.openxmlformats.org/officeDocument/2006/relationships/hyperlink"
    TargetMode="External"
    Target="https://www.westlaw.com/Link/Document/FullText?findType=Y&amp;serNum=1982145037&amp;pubNum=350&amp;originatingDoc=If661ba714a5f11db99a18fc28eb0d9ae&amp;refType=RP&amp;fi=co_pp_sp_350_599&amp;originationContext=document&amp;vr=3.0&amp;rs=cblt1.0&amp;transitionType=DocumentItem&amp;contextData=(sc.DocLink)#co_pp_sp_350_599"/>
  <Relationship Id="r57"
    Type="http://schemas.openxmlformats.org/officeDocument/2006/relationships/hyperlink"
    TargetMode="External"
    Target="https://www.westlaw.com/Link/Document/FullText?findType=Y&amp;serNum=1996063494&amp;pubNum=506&amp;originatingDoc=If661ba714a5f11db99a18fc28eb0d9ae&amp;refType=RP&amp;fi=co_pp_sp_506_1565&amp;originationContext=document&amp;vr=3.0&amp;rs=cblt1.0&amp;transitionType=DocumentItem&amp;contextData=(sc.DocLink)#co_pp_sp_506_1565"/>
  <Relationship Id="r58"
    Type="http://schemas.openxmlformats.org/officeDocument/2006/relationships/hyperlink"
    TargetMode="External"
    Target="https://www.westlaw.com/Link/Document/FullText?findType=Y&amp;serNum=1968119726&amp;pubNum=350&amp;originatingDoc=If661ba714a5f11db99a18fc28eb0d9ae&amp;refType=RP&amp;fi=co_pp_sp_350_550&amp;originationContext=document&amp;vr=3.0&amp;rs=cblt1.0&amp;transitionType=DocumentItem&amp;contextData=(sc.DocLink)#co_pp_sp_350_550"/>
  <Relationship Id="r59"
    Type="http://schemas.openxmlformats.org/officeDocument/2006/relationships/hyperlink"
    TargetMode="External"
    Target="https://www.westlaw.com/Link/Document/FullText?findType=Y&amp;serNum=1997172395&amp;pubNum=506&amp;originatingDoc=If661ba714a5f11db99a18fc28eb0d9ae&amp;refType=RP&amp;fi=co_pp_sp_506_516&amp;originationContext=document&amp;vr=3.0&amp;rs=cblt1.0&amp;transitionType=DocumentItem&amp;contextData=(sc.DocLink)#co_pp_sp_506_516"/>
  <Relationship Id="r60"
    Type="http://schemas.openxmlformats.org/officeDocument/2006/relationships/hyperlink"
    TargetMode="External"
    Target="https://www.westlaw.com/Link/Document/FullText?findType=Y&amp;serNum=1996028353&amp;pubNum=506&amp;originatingDoc=If661ba714a5f11db99a18fc28eb0d9ae&amp;refType=RP&amp;fi=co_pp_sp_506_598&amp;originationContext=document&amp;vr=3.0&amp;rs=cblt1.0&amp;transitionType=DocumentItem&amp;contextData=(sc.DocLink)#co_pp_sp_506_598"/>
  <Relationship Id="r61"
    Type="http://schemas.openxmlformats.org/officeDocument/2006/relationships/hyperlink"
    TargetMode="External"
    Target="https://www.westlaw.com/Link/Document/FullText?findType=Y&amp;serNum=1956110515&amp;pubNum=350&amp;originatingDoc=If661ba714a5f11db99a18fc28eb0d9ae&amp;refType=RP&amp;originationContext=document&amp;vr=3.0&amp;rs=cblt1.0&amp;transitionType=DocumentItem&amp;contextData=(sc.DocLink)"/>
  <Relationship Id="r62"
    Type="http://schemas.openxmlformats.org/officeDocument/2006/relationships/hyperlink"
    TargetMode="External"
    Target="https://www.westlaw.com/Link/Document/FullText?findType=Y&amp;serNum=1956110515&amp;originatingDoc=If661ba714a5f11db99a18fc28eb0d9ae&amp;refType=RP&amp;originationContext=document&amp;vr=3.0&amp;rs=cblt1.0&amp;transitionType=DocumentItem&amp;contextData=(sc.DocLink)"/>
  <Relationship Id="r63"
    Type="http://schemas.openxmlformats.org/officeDocument/2006/relationships/hyperlink"
    TargetMode="External"
    Target="https://www.westlaw.com/Link/Document/FullText?findType=Y&amp;serNum=1991062858&amp;pubNum=350&amp;originatingDoc=If661ba714a5f11db99a18fc28eb0d9ae&amp;refType=RP&amp;fi=co_pp_sp_350_1520&amp;originationContext=document&amp;vr=3.0&amp;rs=cblt1.0&amp;transitionType=DocumentItem&amp;contextData=(sc.DocLink)#co_pp_sp_350_1520"/>
  <Relationship Id="r64"
    Type="http://schemas.openxmlformats.org/officeDocument/2006/relationships/hyperlink"
    TargetMode="External"
    Target="https://www.westlaw.com/Link/Document/FullText?findType=Y&amp;serNum=1980154006&amp;pubNum=350&amp;originatingDoc=If661ba714a5f11db99a18fc28eb0d9ae&amp;refType=RP&amp;fi=co_pp_sp_350_938&amp;originationContext=document&amp;vr=3.0&amp;rs=cblt1.0&amp;transitionType=DocumentItem&amp;contextData=(sc.DocLink)#co_pp_sp_350_938"/>
  <Relationship Id="r65"
    Type="http://schemas.openxmlformats.org/officeDocument/2006/relationships/hyperlink"
    TargetMode="External"
    Target="https://www.westlaw.com/Link/Document/FullText?findType=Y&amp;serNum=1996145635&amp;pubNum=506&amp;originatingDoc=If661ba714a5f11db99a18fc28eb0d9ae&amp;refType=RP&amp;fi=co_pp_sp_506_1437&amp;originationContext=document&amp;vr=3.0&amp;rs=cblt1.0&amp;transitionType=DocumentItem&amp;contextData=(sc.DocLink)#co_pp_sp_506_1437"/>
  <Relationship Id="r66"
    Type="http://schemas.openxmlformats.org/officeDocument/2006/relationships/hyperlink"
    TargetMode="External"
    Target="https://www.westlaw.com/Link/Document/FullText?findType=L&amp;pubNum=1004365&amp;cite=USFRCPR8&amp;originatingDoc=If661ba714a5f11db99a18fc28eb0d9ae&amp;refType=LQ&amp;originationContext=document&amp;vr=3.0&amp;rs=cblt1.0&amp;transitionType=DocumentItem&amp;contextData=(sc.DocLink)"/>
  <Relationship Id="r67"
    Type="http://schemas.openxmlformats.org/officeDocument/2006/relationships/hyperlink"
    TargetMode="External"
    Target="https://www.westlaw.com/Link/Document/FullText?findType=Y&amp;serNum=1992128149&amp;pubNum=345&amp;originatingDoc=If661ba714a5f11db99a18fc28eb0d9ae&amp;refType=RP&amp;fi=co_pp_sp_345_227&amp;originationContext=document&amp;vr=3.0&amp;rs=cblt1.0&amp;transitionType=DocumentItem&amp;contextData=(sc.DocLink)#co_pp_sp_345_227"/>
  <Relationship Id="r68"
    Type="http://schemas.openxmlformats.org/officeDocument/2006/relationships/hyperlink"
    TargetMode="External"
    Target="https://www.westlaw.com/Link/Document/FullText?findType=Y&amp;serNum=1982101082&amp;pubNum=350&amp;originatingDoc=If661ba714a5f11db99a18fc28eb0d9ae&amp;refType=RP&amp;fi=co_pp_sp_350_1167&amp;originationContext=document&amp;vr=3.0&amp;rs=cblt1.0&amp;transitionType=DocumentItem&amp;contextData=(sc.DocLink)#co_pp_sp_350_1167"/>
  <Relationship Id="r69"
    Type="http://schemas.openxmlformats.org/officeDocument/2006/relationships/hyperlink"
    TargetMode="External"
    Target="https://www.westlaw.com/Link/Document/FullText?findType=Y&amp;serNum=1987145047&amp;pubNum=350&amp;originatingDoc=If661ba714a5f11db99a18fc28eb0d9ae&amp;refType=RP&amp;fi=co_pp_sp_350_214&amp;originationContext=document&amp;vr=3.0&amp;rs=cblt1.0&amp;transitionType=DocumentItem&amp;contextData=(sc.DocLink)#co_pp_sp_350_214"/>
  <Relationship Id="r70"
    Type="http://schemas.openxmlformats.org/officeDocument/2006/relationships/hyperlink"
    TargetMode="External"
    Target="https://www.westlaw.com/Link/Document/FullText?findType=Y&amp;pubNum=0102228&amp;cite=FPPs6726&amp;originatingDoc=If661ba714a5f11db99a18fc28eb0d9ae&amp;refType=TS&amp;originationContext=document&amp;vr=3.0&amp;rs=cblt1.0&amp;transitionType=DocumentItem&amp;contextData=(sc.DocLink)"/>
  <Relationship Id="r71"
    Type="http://schemas.openxmlformats.org/officeDocument/2006/relationships/hyperlink"
    TargetMode="External"
    Target="https://www.westlaw.com/Link/Document/FullText?findType=Y&amp;serNum=0280312669&amp;pubNum=0134642&amp;originatingDoc=If661ba714a5f11db99a18fc28eb0d9ae&amp;refType=TS&amp;originationContext=document&amp;vr=3.0&amp;rs=cblt1.0&amp;transitionType=DocumentItem&amp;contextData=(sc.DocLink)"/>
  <Relationship Id="r72"
    Type="http://schemas.openxmlformats.org/officeDocument/2006/relationships/hyperlink"
    TargetMode="External"
    Target="https://www.westlaw.com/Link/Document/FullText?findType=Y&amp;serNum=0332917525&amp;pubNum=1292&amp;originatingDoc=If661ba714a5f11db99a18fc28eb0d9ae&amp;refType=LR&amp;fi=co_pp_sp_1292_375&amp;originationContext=document&amp;vr=3.0&amp;rs=cblt1.0&amp;transitionType=DocumentItem&amp;contextData=(sc.DocLink)#co_pp_sp_1292_375"/>
  <Relationship Id="r73"
    Type="http://schemas.openxmlformats.org/officeDocument/2006/relationships/hyperlink"
    TargetMode="External"
    Target="https://www.westlaw.com/Link/Document/FullText?findType=L&amp;pubNum=1004365&amp;cite=USFRCPR36&amp;originatingDoc=If661ba714a5f11db99a18fc28eb0d9ae&amp;refType=LQ&amp;originationContext=document&amp;vr=3.0&amp;rs=cblt1.0&amp;transitionType=DocumentItem&amp;contextData=(sc.DocLink)"/>
  <Relationship Id="r74"
    Type="http://schemas.openxmlformats.org/officeDocument/2006/relationships/hyperlink"
    TargetMode="External"
    Target="https://www.westlaw.com/Link/Document/FullText?findType=L&amp;pubNum=1004365&amp;cite=USFRCPR36&amp;originatingDoc=If661ba714a5f11db99a18fc28eb0d9ae&amp;refType=LQ&amp;originationContext=document&amp;vr=3.0&amp;rs=cblt1.0&amp;transitionType=DocumentItem&amp;contextData=(sc.DocLink)"/>
  <Relationship Id="r75"
    Type="http://schemas.openxmlformats.org/officeDocument/2006/relationships/hyperlink"
    TargetMode="External"
    Target="https://www.westlaw.com/Link/Document/FullText?findType=L&amp;pubNum=1004365&amp;cite=USFRCPR36&amp;originatingDoc=If661ba714a5f11db99a18fc28eb0d9ae&amp;refType=LQ&amp;originationContext=document&amp;vr=3.0&amp;rs=cblt1.0&amp;transitionType=DocumentItem&amp;contextData=(sc.DocLink)"/>
  <Relationship Id="r76"
    Type="http://schemas.openxmlformats.org/officeDocument/2006/relationships/hyperlink"
    TargetMode="External"
    Target="https://www.westlaw.com/Link/Document/FullText?findType=L&amp;pubNum=1004365&amp;cite=USFRCPR36&amp;originatingDoc=If661ba714a5f11db99a18fc28eb0d9ae&amp;refType=LQ&amp;originationContext=document&amp;vr=3.0&amp;rs=cblt1.0&amp;transitionType=DocumentItem&amp;contextData=(sc.DocLink)"/>
  <Relationship Id="r77"
    Type="http://schemas.openxmlformats.org/officeDocument/2006/relationships/hyperlink"
    TargetMode="External"
    Target="https://www.westlaw.com/Link/Document/FullText?findType=L&amp;pubNum=1004365&amp;cite=USFRCPR8&amp;originatingDoc=If661ba714a5f11db99a18fc28eb0d9ae&amp;refType=LQ&amp;originationContext=document&amp;vr=3.0&amp;rs=cblt1.0&amp;transitionType=DocumentItem&amp;contextData=(sc.DocLink)"/>
  <Relationship Id="r78"
    Type="http://schemas.openxmlformats.org/officeDocument/2006/relationships/hyperlink"
    TargetMode="External"
    Target="https://www.westlaw.com/Link/Document/FullText?findType=Y&amp;serNum=1991183428&amp;pubNum=350&amp;originatingDoc=If661ba714a5f11db99a18fc28eb0d9ae&amp;refType=RP&amp;fi=co_pp_sp_350_769&amp;originationContext=document&amp;vr=3.0&amp;rs=cblt1.0&amp;transitionType=DocumentItem&amp;contextData=(sc.DocLink)#co_pp_sp_350_769"/>
  <Relationship Id="r79"
    Type="http://schemas.openxmlformats.org/officeDocument/2006/relationships/hyperlink"
    TargetMode="External"
    Target="https://www.westlaw.com/Link/Document/FullText?findType=Y&amp;pubNum=0102228&amp;cite=FPPs6726&amp;originatingDoc=If661ba714a5f11db99a18fc28eb0d9ae&amp;refType=TS&amp;originationContext=document&amp;vr=3.0&amp;rs=cblt1.0&amp;transitionType=DocumentItem&amp;contextData=(sc.DocLink)"/>
  <Relationship Id="r80"
    Type="http://schemas.openxmlformats.org/officeDocument/2006/relationships/hyperlink"
    TargetMode="External"
    Target="https://www.westlaw.com/Link/Document/FullText?findType=Y&amp;serNum=0105397230&amp;pubNum=1222&amp;originatingDoc=If661ba714a5f11db99a18fc28eb0d9ae&amp;refType=LR&amp;fi=co_pp_sp_1222_993&amp;originationContext=document&amp;vr=3.0&amp;rs=cblt1.0&amp;transitionType=DocumentItem&amp;contextData=(sc.DocLink)#co_pp_sp_1222_993"/>
  <Relationship Id="r81"
    Type="http://schemas.openxmlformats.org/officeDocument/2006/relationships/hyperlink"
    TargetMode="External"
    Target="https://www.westlaw.com/Link/Document/FullText?findType=Y&amp;serNum=1991092757&amp;pubNum=350&amp;originatingDoc=If661ba714a5f11db99a18fc28eb0d9ae&amp;refType=RP&amp;fi=co_pp_sp_350_1097&amp;originationContext=document&amp;vr=3.0&amp;rs=cblt1.0&amp;transitionType=DocumentItem&amp;contextData=(sc.DocLink)#co_pp_sp_350_1097"/>
  <Relationship Id="r82"
    Type="http://schemas.openxmlformats.org/officeDocument/2006/relationships/hyperlink"
    TargetMode="External"
    Target="https://www.westlaw.com/Link/Document/FullText?findType=Y&amp;serNum=1987111402&amp;pubNum=350&amp;originatingDoc=If661ba714a5f11db99a18fc28eb0d9ae&amp;refType=RP&amp;fi=co_pp_sp_350_709&amp;originationContext=document&amp;vr=3.0&amp;rs=cblt1.0&amp;transitionType=DocumentItem&amp;contextData=(sc.DocLink)#co_pp_sp_350_709"/>
  <Relationship Id="r83"
    Type="http://schemas.openxmlformats.org/officeDocument/2006/relationships/hyperlink"
    TargetMode="External"
    Target="https://www.westlaw.com/Link/Document/FullText?findType=Y&amp;serNum=1995141980&amp;pubNum=506&amp;originatingDoc=If661ba714a5f11db99a18fc28eb0d9ae&amp;refType=RP&amp;fi=co_pp_sp_506_1198&amp;originationContext=document&amp;vr=3.0&amp;rs=cblt1.0&amp;transitionType=DocumentItem&amp;contextData=(sc.DocLink)#co_pp_sp_506_1198"/>
  <Relationship Id="r84"
    Type="http://schemas.openxmlformats.org/officeDocument/2006/relationships/hyperlink"
    TargetMode="External"
    Target="https://www.westlaw.com/Link/Document/FullText?findType=L&amp;pubNum=1004365&amp;cite=USFRCPR37&amp;originatingDoc=If661ba714a5f11db99a18fc28eb0d9ae&amp;refType=LQ&amp;originationContext=document&amp;vr=3.0&amp;rs=cblt1.0&amp;transitionType=DocumentItem&amp;contextData=(sc.DocLink)"/>
  <Relationship Id="r85"
    Type="http://schemas.openxmlformats.org/officeDocument/2006/relationships/hyperlink"
    TargetMode="External"
    Target="https://www.westlaw.com/Link/Document/FullText?findType=L&amp;pubNum=1004365&amp;cite=USFRCPR36&amp;originatingDoc=If661ba714a5f11db99a18fc28eb0d9ae&amp;refType=LQ&amp;originationContext=document&amp;vr=3.0&amp;rs=cblt1.0&amp;transitionType=DocumentItem&amp;contextData=(sc.DocLink)"/>
  <Relationship Id="r86"
    Type="http://schemas.openxmlformats.org/officeDocument/2006/relationships/hyperlink"
    TargetMode="External"
    Target="https://www.westlaw.com/Link/Document/FullText?findType=Y&amp;serNum=1986125568&amp;pubNum=350&amp;originatingDoc=If661ba714a5f11db99a18fc28eb0d9ae&amp;refType=RP&amp;fi=co_pp_sp_350_555&amp;originationContext=document&amp;vr=3.0&amp;rs=cblt1.0&amp;transitionType=DocumentItem&amp;contextData=(sc.DocLink)#co_pp_sp_350_555"/>
  <Relationship Id="r87"
    Type="http://schemas.openxmlformats.org/officeDocument/2006/relationships/hyperlink"
    TargetMode="External"
    Target="https://www.westlaw.com/Link/Document/FullText?findType=Y&amp;serNum=0280312672&amp;pubNum=0134642&amp;originatingDoc=If661ba714a5f11db99a18fc28eb0d9ae&amp;refType=TS&amp;originationContext=document&amp;vr=3.0&amp;rs=cblt1.0&amp;transitionType=DocumentItem&amp;contextData=(sc.DocLink)"/>
  <Relationship Id="r88"
    Type="http://schemas.openxmlformats.org/officeDocument/2006/relationships/hyperlink"
    TargetMode="External"
    Target="https://www.westlaw.com/Link/Document/FullText?findType=Y&amp;serNum=1997053114&amp;pubNum=506&amp;originatingDoc=If661ba714a5f11db99a18fc28eb0d9ae&amp;refType=RP&amp;fi=co_pp_sp_506_1404&amp;originationContext=document&amp;vr=3.0&amp;rs=cblt1.0&amp;transitionType=DocumentItem&amp;contextData=(sc.DocLink)#co_pp_sp_506_1404"/>
  <Relationship Id="r89"
    Type="http://schemas.openxmlformats.org/officeDocument/2006/relationships/hyperlink"
    TargetMode="External"
    Target="https://www.westlaw.com/Link/Document/FullText?findType=Y&amp;serNum=1992080838&amp;pubNum=661&amp;originatingDoc=If661ba714a5f11db99a18fc28eb0d9ae&amp;refType=RP&amp;fi=co_pp_sp_661_1205&amp;originationContext=document&amp;vr=3.0&amp;rs=cblt1.0&amp;transitionType=DocumentItem&amp;contextData=(sc.DocLink)#co_pp_sp_661_1205"/>
  <Relationship Id="r90"
    Type="http://schemas.openxmlformats.org/officeDocument/2006/relationships/hyperlink"
    TargetMode="External"
    Target="https://www.westlaw.com/Link/Document/FullText?findType=Y&amp;pubNum=0102228&amp;cite=FPPs6726&amp;originatingDoc=If661ba714a5f11db99a18fc28eb0d9ae&amp;refType=TS&amp;originationContext=document&amp;vr=3.0&amp;rs=cblt1.0&amp;transitionType=DocumentItem&amp;contextData=(sc.DocLink)"/>
  <Relationship Id="r91"
    Type="http://schemas.openxmlformats.org/officeDocument/2006/relationships/hyperlink"
    TargetMode="External"
    Target="https://www.westlaw.com/Link/Document/FullText?findType=Y&amp;serNum=0280312673&amp;pubNum=0134642&amp;originatingDoc=If661ba714a5f11db99a18fc28eb0d9ae&amp;refType=TS&amp;originationContext=document&amp;vr=3.0&amp;rs=cblt1.0&amp;transitionType=DocumentItem&amp;contextData=(sc.DocLink)"/>
  <Relationship Id="r92"
    Type="http://schemas.openxmlformats.org/officeDocument/2006/relationships/hyperlink"
    TargetMode="External"
    Target="https://www.westlaw.com/Link/Document/FullText?findType=Y&amp;serNum=1995141980&amp;pubNum=506&amp;originatingDoc=If661ba714a5f11db99a18fc28eb0d9ae&amp;refType=RP&amp;fi=co_pp_sp_506_1199&amp;originationContext=document&amp;vr=3.0&amp;rs=cblt1.0&amp;transitionType=DocumentItem&amp;contextData=(sc.DocLink)#co_pp_sp_506_1199"/>
  <Relationship Id="r93"
    Type="http://schemas.openxmlformats.org/officeDocument/2006/relationships/hyperlink"
    TargetMode="External"
    Target="https://www.westlaw.com/Link/Document/FullText?findType=Y&amp;serNum=0280312673&amp;pubNum=0134642&amp;originatingDoc=If661ba714a5f11db99a18fc28eb0d9ae&amp;refType=TS&amp;originationContext=document&amp;vr=3.0&amp;rs=cblt1.0&amp;transitionType=DocumentItem&amp;contextData=(sc.DocLink)"/>
  <Relationship Id="r94"
    Type="http://schemas.openxmlformats.org/officeDocument/2006/relationships/hyperlink"
    TargetMode="External"
    Target="https://www.westlaw.com/Link/Document/FullText?findType=Y&amp;pubNum=0102228&amp;cite=FPPs6726&amp;originatingDoc=If661ba714a5f11db99a18fc28eb0d9ae&amp;refType=TS&amp;originationContext=document&amp;vr=3.0&amp;rs=cblt1.0&amp;transitionType=DocumentItem&amp;contextData=(sc.DocLink)"/>
  <Relationship Id="r95"
    Type="http://schemas.openxmlformats.org/officeDocument/2006/relationships/hyperlink"
    TargetMode="External"
    Target="https://www.westlaw.com/Link/Document/FullText?findType=Y&amp;serNum=0280312673&amp;pubNum=0134642&amp;originatingDoc=If661ba714a5f11db99a18fc28eb0d9ae&amp;refType=TS&amp;originationContext=document&amp;vr=3.0&amp;rs=cblt1.0&amp;transitionType=DocumentItem&amp;contextData=(sc.DocLink)"/>
  <Relationship Id="r96"
    Type="http://schemas.openxmlformats.org/officeDocument/2006/relationships/hyperlink"
    TargetMode="External"
    Target="https://www.westlaw.com/Link/Document/FullText?findType=Y&amp;serNum=1997036084&amp;pubNum=345&amp;originatingDoc=If661ba714a5f11db99a18fc28eb0d9ae&amp;refType=RP&amp;fi=co_pp_sp_345_1261&amp;originationContext=document&amp;vr=3.0&amp;rs=cblt1.0&amp;transitionType=DocumentItem&amp;contextData=(sc.DocLink)#co_pp_sp_345_1261"/>
  <Relationship Id="r97"
    Type="http://schemas.openxmlformats.org/officeDocument/2006/relationships/hyperlink"
    TargetMode="External"
    Target="https://www.westlaw.com/Link/Document/FullText?findType=Y&amp;serNum=1998040820&amp;pubNum=578&amp;originatingDoc=If661ba714a5f11db99a18fc28eb0d9ae&amp;refType=RP&amp;fi=co_pp_sp_578_1156&amp;originationContext=document&amp;vr=3.0&amp;rs=cblt1.0&amp;transitionType=DocumentItem&amp;contextData=(sc.DocLink)#co_pp_sp_578_1156"/>
  <Relationship Id="r98"
    Type="http://schemas.openxmlformats.org/officeDocument/2006/relationships/hyperlink"
    TargetMode="External"
    Target="https://www.westlaw.com/Link/Document/FullText?findType=Y&amp;serNum=1997232451&amp;pubNum=713&amp;originatingDoc=If661ba714a5f11db99a18fc28eb0d9ae&amp;refType=RP&amp;fi=co_pp_sp_713_111&amp;originationContext=document&amp;vr=3.0&amp;rs=cblt1.0&amp;transitionType=DocumentItem&amp;contextData=(sc.DocLink)#co_pp_sp_713_111"/>
  <Relationship Id="r99"
    Type="http://schemas.openxmlformats.org/officeDocument/2006/relationships/hyperlink"
    TargetMode="External"
    Target="https://www.westlaw.com/Link/Document/FullText?findType=Y&amp;serNum=1990125291&amp;pubNum=350&amp;originatingDoc=If661ba714a5f11db99a18fc28eb0d9ae&amp;refType=RP&amp;fi=co_pp_sp_350_1294&amp;originationContext=document&amp;vr=3.0&amp;rs=cblt1.0&amp;transitionType=DocumentItem&amp;contextData=(sc.DocLink)#co_pp_sp_350_1294"/>
  <Relationship Id="r100"
    Type="http://schemas.openxmlformats.org/officeDocument/2006/relationships/hyperlink"
    TargetMode="External"
    Target="https://www.westlaw.com/Link/Document/FullText?findType=Y&amp;serNum=1988095762&amp;pubNum=350&amp;originatingDoc=If661ba714a5f11db99a18fc28eb0d9ae&amp;refType=RP&amp;fi=co_pp_sp_350_745&amp;originationContext=document&amp;vr=3.0&amp;rs=cblt1.0&amp;transitionType=DocumentItem&amp;contextData=(sc.DocLink)#co_pp_sp_350_745"/>
  <Relationship Id="r101"
    Type="http://schemas.openxmlformats.org/officeDocument/2006/relationships/hyperlink"
    TargetMode="External"
    Target="https://www.westlaw.com/Link/Document/FullText?findType=Y&amp;serNum=1997043084&amp;pubNum=506&amp;originatingDoc=If661ba714a5f11db99a18fc28eb0d9ae&amp;refType=RP&amp;fi=co_pp_sp_506_1048&amp;originationContext=document&amp;vr=3.0&amp;rs=cblt1.0&amp;transitionType=DocumentItem&amp;contextData=(sc.DocLink)#co_pp_sp_506_1048"/>
  <Relationship Id="r102"
    Type="http://schemas.openxmlformats.org/officeDocument/2006/relationships/hyperlink"
    TargetMode="External"
    Target="https://www.westlaw.com/Link/Document/FullText?findType=Y&amp;serNum=1987019359&amp;pubNum=350&amp;originatingDoc=If661ba714a5f11db99a18fc28eb0d9ae&amp;refType=RP&amp;fi=co_pp_sp_350_566&amp;originationContext=document&amp;vr=3.0&amp;rs=cblt1.0&amp;transitionType=DocumentItem&amp;contextData=(sc.DocLink)#co_pp_sp_350_566"/>
  <Relationship Id="r103"
    Type="http://schemas.openxmlformats.org/officeDocument/2006/relationships/hyperlink"
    TargetMode="External"
    Target="https://www.westlaw.com/Link/Document/FullText?findType=Y&amp;serNum=1956110515&amp;pubNum=350&amp;originatingDoc=If661ba714a5f11db99a18fc28eb0d9ae&amp;refType=RP&amp;fi=co_pp_sp_350_438&amp;originationContext=document&amp;vr=3.0&amp;rs=cblt1.0&amp;transitionType=DocumentItem&amp;contextData=(sc.DocLink)#co_pp_sp_350_438"/>
  <Relationship Id="r104"
    Type="http://schemas.openxmlformats.org/officeDocument/2006/relationships/hyperlink"
    TargetMode="External"
    Target="https://www.westlaw.com/Link/Document/FullText?findType=Y&amp;serNum=1893180288&amp;pubNum=780&amp;originatingDoc=If661ba714a5f11db99a18fc28eb0d9ae&amp;refType=RP&amp;fi=co_pp_sp_780_334&amp;originationContext=document&amp;vr=3.0&amp;rs=cblt1.0&amp;transitionType=DocumentItem&amp;contextData=(sc.DocLink)#co_pp_sp_780_334"/>
  <Relationship Id="r105"
    Type="http://schemas.openxmlformats.org/officeDocument/2006/relationships/hyperlink"
    TargetMode="External"
    Target="https://www.westlaw.com/Link/Document/FullText?findType=Y&amp;serNum=0107490921&amp;pubNum=0113470&amp;originatingDoc=If661ba714a5f11db99a18fc28eb0d9ae&amp;refType=TS&amp;originationContext=document&amp;vr=3.0&amp;rs=cblt1.0&amp;transitionType=DocumentItem&amp;contextData=(sc.DocLink)"/>
  <Relationship Id="r106"
    Type="http://schemas.openxmlformats.org/officeDocument/2006/relationships/hyperlink"
    TargetMode="External"
    Target="https://www.westlaw.com/Link/Document/FullText?findType=Y&amp;serNum=0107490965&amp;pubNum=0113470&amp;originatingDoc=If661ba714a5f11db99a18fc28eb0d9ae&amp;refType=TS&amp;originationContext=document&amp;vr=3.0&amp;rs=cblt1.0&amp;transitionType=DocumentItem&amp;contextData=(sc.DocLink)"/>
  <Relationship Id="r107"
    Type="http://schemas.openxmlformats.org/officeDocument/2006/relationships/hyperlink"
    TargetMode="External"
    Target="https://www.westlaw.com/Link/Document/FullText?findType=Y&amp;serNum=0289574246&amp;pubNum=0156788&amp;originatingDoc=If661ba714a5f11db99a18fc28eb0d9ae&amp;refType=TS&amp;originationContext=document&amp;vr=3.0&amp;rs=cblt1.0&amp;transitionType=DocumentItem&amp;contextData=(sc.DocLink)"/>
  <Relationship Id="r108"
    Type="http://schemas.openxmlformats.org/officeDocument/2006/relationships/hyperlink"
    TargetMode="External"
    Target="https://www.westlaw.com/Link/Document/FullText?findType=Y&amp;serNum=0289574301&amp;pubNum=0156788&amp;originatingDoc=If661ba714a5f11db99a18fc28eb0d9ae&amp;refType=TS&amp;originationContext=document&amp;vr=3.0&amp;rs=cblt1.0&amp;transitionType=DocumentItem&amp;contextData=(sc.DocLink)"/>
  <Relationship Id="r109"
    Type="http://schemas.openxmlformats.org/officeDocument/2006/relationships/hyperlink"
    TargetMode="External"
    Target="https://www.westlaw.com/Link/Document/FullText?findType=Y&amp;serNum=1983126992&amp;pubNum=661&amp;originatingDoc=If661ba714a5f11db99a18fc28eb0d9ae&amp;refType=RP&amp;fi=co_pp_sp_661_751&amp;originationContext=document&amp;vr=3.0&amp;rs=cblt1.0&amp;transitionType=DocumentItem&amp;contextData=(sc.DocLink)#co_pp_sp_661_751"/>
  <Relationship Id="r110"
    Type="http://schemas.openxmlformats.org/officeDocument/2006/relationships/hyperlink"
    TargetMode="External"
    Target="https://www.westlaw.com/Link/Document/FullText?findType=Y&amp;serNum=1956110515&amp;pubNum=350&amp;originatingDoc=If661ba714a5f11db99a18fc28eb0d9ae&amp;refType=RP&amp;fi=co_pp_sp_350_438&amp;originationContext=document&amp;vr=3.0&amp;rs=cblt1.0&amp;transitionType=DocumentItem&amp;contextData=(sc.DocLink)#co_pp_sp_350_438"/>
  <Relationship Id="r111"
    Type="http://schemas.openxmlformats.org/officeDocument/2006/relationships/hyperlink"
    TargetMode="External"
    Target="https://www.westlaw.com/Link/Document/FullText?findType=Y&amp;serNum=1995062703&amp;pubNum=506&amp;originatingDoc=If661ba714a5f11db99a18fc28eb0d9ae&amp;refType=RP&amp;fi=co_pp_sp_506_1431&amp;originationContext=document&amp;vr=3.0&amp;rs=cblt1.0&amp;transitionType=DocumentItem&amp;contextData=(sc.DocLink)#co_pp_sp_506_1431"/>
  <Relationship Id="r112"
    Type="http://schemas.openxmlformats.org/officeDocument/2006/relationships/hyperlink"
    TargetMode="External"
    Target="https://www.westlaw.com/Link/Document/FullText?findType=Y&amp;serNum=1995062703&amp;originatingDoc=If661ba714a5f11db99a18fc28eb0d9ae&amp;refType=RP&amp;originationContext=document&amp;vr=3.0&amp;rs=cblt1.0&amp;transitionType=DocumentItem&amp;contextData=(sc.DocLink)"/>
  <Relationship Id="r113"
    Type="http://schemas.openxmlformats.org/officeDocument/2006/relationships/hyperlink"
    TargetMode="External"
    Target="https://www.westlaw.com/Link/Document/FullText?findType=L&amp;pubNum=1004365&amp;cite=USFRCPR9&amp;originatingDoc=If661ba714a5f11db99a18fc28eb0d9ae&amp;refType=LQ&amp;originationContext=document&amp;vr=3.0&amp;rs=cblt1.0&amp;transitionType=DocumentItem&amp;contextData=(sc.DocLink)"/>
  <Relationship Id="r114"
    Type="http://schemas.openxmlformats.org/officeDocument/2006/relationships/hyperlink"
    TargetMode="External"
    Target="https://www.westlaw.com/Link/Document/FullText?findType=L&amp;pubNum=1004365&amp;cite=USFRCPR9&amp;originatingDoc=If661ba714a5f11db99a18fc28eb0d9ae&amp;refType=LQ&amp;originationContext=document&amp;vr=3.0&amp;rs=cblt1.0&amp;transitionType=DocumentItem&amp;contextData=(sc.DocLink)"/>
  <Relationship Id="r115"
    Type="http://schemas.openxmlformats.org/officeDocument/2006/relationships/hyperlink"
    TargetMode="External"
    Target="https://www.westlaw.com/Link/Document/FullText?findType=Y&amp;serNum=1992045432&amp;pubNum=350&amp;originatingDoc=If661ba714a5f11db99a18fc28eb0d9ae&amp;refType=RP&amp;fi=co_pp_sp_350_664&amp;originationContext=document&amp;vr=3.0&amp;rs=cblt1.0&amp;transitionType=DocumentItem&amp;contextData=(sc.DocLink)#co_pp_sp_350_664"/>
  <Relationship Id="r116"
    Type="http://schemas.openxmlformats.org/officeDocument/2006/relationships/hyperlink"
    TargetMode="External"
    Target="https://www.westlaw.com/Link/Document/FullText?findType=Y&amp;serNum=1997128986&amp;pubNum=345&amp;originatingDoc=If661ba714a5f11db99a18fc28eb0d9ae&amp;refType=RP&amp;fi=co_pp_sp_345_1578&amp;originationContext=document&amp;vr=3.0&amp;rs=cblt1.0&amp;transitionType=DocumentItem&amp;contextData=(sc.DocLink)#co_pp_sp_345_1578"/>
  <Relationship Id="r117"
    Type="http://schemas.openxmlformats.org/officeDocument/2006/relationships/hyperlink"
    TargetMode="External"
    Target="https://www.westlaw.com/Link/Document/FullText?findType=Y&amp;serNum=0289574392&amp;pubNum=0156788&amp;originatingDoc=If661ba714a5f11db99a18fc28eb0d9ae&amp;refType=TS&amp;originationContext=document&amp;vr=3.0&amp;rs=cblt1.0&amp;transitionType=DocumentItem&amp;contextData=(sc.DocLink)"/>
  <Relationship Id="r118"
    Type="http://schemas.openxmlformats.org/officeDocument/2006/relationships/hyperlink"
    TargetMode="External"
    Target="https://www.westlaw.com/Link/Document/FullText?findType=Y&amp;serNum=1996084581&amp;pubNum=0000999&amp;originatingDoc=If661ba714a5f11db99a18fc28eb0d9ae&amp;refType=RP&amp;originationContext=document&amp;vr=3.0&amp;rs=cblt1.0&amp;transitionType=DocumentItem&amp;contextData=(sc.DocLink)"/>
  <Relationship Id="r119"
    Type="http://schemas.openxmlformats.org/officeDocument/2006/relationships/hyperlink"
    TargetMode="External"
    Target="https://www.westlaw.com/Link/Document/FullText?findType=Y&amp;serNum=1993239714&amp;pubNum=506&amp;originatingDoc=If661ba714a5f11db99a18fc28eb0d9ae&amp;refType=RP&amp;fi=co_pp_sp_506_1428&amp;originationContext=document&amp;vr=3.0&amp;rs=cblt1.0&amp;transitionType=DocumentItem&amp;contextData=(sc.DocLink)#co_pp_sp_506_1428"/>
  <Relationship Id="r120"
    Type="http://schemas.openxmlformats.org/officeDocument/2006/relationships/hyperlink"
    TargetMode="External"
    Target="https://www.westlaw.com/Link/Document/FullText?findType=Y&amp;serNum=0108793771&amp;pubNum=1160&amp;originatingDoc=If661ba714a5f11db99a18fc28eb0d9ae&amp;refType=LR&amp;originationContext=document&amp;vr=3.0&amp;rs=cblt1.0&amp;transitionType=DocumentItem&amp;contextData=(sc.DocLink)"/>
  <Relationship Id="r121"
    Type="http://schemas.openxmlformats.org/officeDocument/2006/relationships/hyperlink"
    TargetMode="External"
    Target="https://www.westlaw.com/Link/Document/FullText?findType=Y&amp;serNum=0107948154&amp;pubNum=100490&amp;originatingDoc=If661ba714a5f11db99a18fc28eb0d9ae&amp;refType=LR&amp;originationContext=document&amp;vr=3.0&amp;rs=cblt1.0&amp;transitionType=DocumentItem&amp;contextData=(sc.DocLink)"/>
  <Relationship Id="r122"
    Type="http://schemas.openxmlformats.org/officeDocument/2006/relationships/hyperlink"
    TargetMode="External"
    Target="https://www.westlaw.com/Link/Document/FullText?findType=Y&amp;serNum=0107234180&amp;pubNum=1206&amp;originatingDoc=If661ba714a5f11db99a18fc28eb0d9ae&amp;refType=LR&amp;originationContext=document&amp;vr=3.0&amp;rs=cblt1.0&amp;transitionType=DocumentItem&amp;contextData=(sc.DocLink)"/>
  <Relationship Id="r123"
    Type="http://schemas.openxmlformats.org/officeDocument/2006/relationships/hyperlink"
    TargetMode="External"
    Target="https://www.westlaw.com/Link/Document/FullText?findType=Y&amp;serNum=0108537415&amp;pubNum=1560&amp;originatingDoc=If661ba714a5f11db99a18fc28eb0d9ae&amp;refType=LR&amp;originationContext=document&amp;vr=3.0&amp;rs=cblt1.0&amp;transitionType=DocumentItem&amp;contextData=(sc.DocLink)"/>
  <Relationship Id="r124"
    Type="http://schemas.openxmlformats.org/officeDocument/2006/relationships/hyperlink"
    TargetMode="External"
    Target="https://www.westlaw.com/Link/Document/FullText?findType=Y&amp;serNum=0108556426&amp;pubNum=1161&amp;originatingDoc=If661ba714a5f11db99a18fc28eb0d9ae&amp;refType=LR&amp;originationContext=document&amp;vr=3.0&amp;rs=cblt1.0&amp;transitionType=DocumentItem&amp;contextData=(sc.DocLink)"/>
  <Relationship Id="r125"
    Type="http://schemas.openxmlformats.org/officeDocument/2006/relationships/hyperlink"
    TargetMode="External"
    Target="https://www.westlaw.com/Link/Document/FullText?findType=Y&amp;serNum=1982112739&amp;pubNum=578&amp;originatingDoc=If661ba714a5f11db99a18fc28eb0d9ae&amp;refType=RP&amp;originationContext=document&amp;vr=3.0&amp;rs=cblt1.0&amp;transitionType=DocumentItem&amp;contextData=(sc.DocLink)"/>
  <Relationship Id="r126"
    Type="http://schemas.openxmlformats.org/officeDocument/2006/relationships/hyperlink"
    TargetMode="External"
    Target="https://www.westlaw.com/Link/Document/FullText?findType=Y&amp;serNum=1982112739&amp;originatingDoc=If661ba714a5f11db99a18fc28eb0d9ae&amp;refType=RP&amp;originationContext=document&amp;vr=3.0&amp;rs=cblt1.0&amp;transitionType=DocumentItem&amp;contextData=(sc.DocLink)"/>
  <Relationship Id="r127"
    Type="http://schemas.openxmlformats.org/officeDocument/2006/relationships/hyperlink"
    TargetMode="External"
    Target="https://www.westlaw.com/Link/Document/FullText?findType=Y&amp;serNum=1993162010&amp;pubNum=506&amp;originatingDoc=If661ba714a5f11db99a18fc28eb0d9ae&amp;refType=RP&amp;fi=co_pp_sp_506_39&amp;originationContext=document&amp;vr=3.0&amp;rs=cblt1.0&amp;transitionType=DocumentItem&amp;contextData=(sc.DocLink)#co_pp_sp_506_39"/>
  <Relationship Id="r128"
    Type="http://schemas.openxmlformats.org/officeDocument/2006/relationships/hyperlink"
    TargetMode="External"
    Target="https://www.westlaw.com/Link/Document/FullText?findType=Y&amp;serNum=1956110515&amp;pubNum=350&amp;originatingDoc=If661ba714a5f11db99a18fc28eb0d9ae&amp;refType=RP&amp;originationContext=document&amp;vr=3.0&amp;rs=cblt1.0&amp;transitionType=DocumentItem&amp;contextData=(sc.DocLink)"/>
  <Relationship Id="r129"
    Type="http://schemas.openxmlformats.org/officeDocument/2006/relationships/hyperlink"
    TargetMode="External"
    Target="https://www.westlaw.com/Link/Document/FullText?findType=Y&amp;serNum=1956110515&amp;originatingDoc=If661ba714a5f11db99a18fc28eb0d9ae&amp;refType=RP&amp;originationContext=document&amp;vr=3.0&amp;rs=cblt1.0&amp;transitionType=DocumentItem&amp;contextData=(sc.DocLink)"/>
  <Relationship Id="r130"
    Type="http://schemas.openxmlformats.org/officeDocument/2006/relationships/hyperlink"
    TargetMode="External"
    Target="https://www.westlaw.com/Link/Document/FullText?findType=Y&amp;serNum=1956110515&amp;originatingDoc=If661ba714a5f11db99a18fc28eb0d9ae&amp;refType=RP&amp;originationContext=document&amp;vr=3.0&amp;rs=cblt1.0&amp;transitionType=DocumentItem&amp;contextData=(sc.DocLink)"/>
  <Relationship Id="r131"
    Type="http://schemas.openxmlformats.org/officeDocument/2006/relationships/hyperlink"
    TargetMode="External"
    Target="https://www.westlaw.com/Link/Document/FullText?findType=Y&amp;serNum=1981118940&amp;pubNum=350&amp;originatingDoc=If661ba714a5f11db99a18fc28eb0d9ae&amp;refType=RP&amp;originationContext=document&amp;vr=3.0&amp;rs=cblt1.0&amp;transitionType=DocumentItem&amp;contextData=(sc.DocLink)"/>
  <Relationship Id="r132"
    Type="http://schemas.openxmlformats.org/officeDocument/2006/relationships/hyperlink"
    TargetMode="External"
    Target="https://www.westlaw.com/Link/Document/FullText?findType=Y&amp;serNum=1984136556&amp;pubNum=350&amp;originatingDoc=If661ba714a5f11db99a18fc28eb0d9ae&amp;refType=RP&amp;originationContext=document&amp;vr=3.0&amp;rs=cblt1.0&amp;transitionType=DocumentItem&amp;contextData=(sc.DocLink)"/>
  <Relationship Id="r133"
    Type="http://schemas.openxmlformats.org/officeDocument/2006/relationships/hyperlink"
    TargetMode="External"
    Target="https://www.westlaw.com/Link/Document/FullText?findType=Y&amp;serNum=1984136556&amp;originatingDoc=If661ba714a5f11db99a18fc28eb0d9ae&amp;refType=RP&amp;originationContext=document&amp;vr=3.0&amp;rs=cblt1.0&amp;transitionType=DocumentItem&amp;contextData=(sc.DocLink)"/>
  <Relationship Id="r134"
    Type="http://schemas.openxmlformats.org/officeDocument/2006/relationships/hyperlink"
    TargetMode="External"
    Target="https://www.westlaw.com/Link/Document/FullText?findType=Y&amp;serNum=1984136556&amp;originatingDoc=If661ba714a5f11db99a18fc28eb0d9ae&amp;refType=RP&amp;originationContext=document&amp;vr=3.0&amp;rs=cblt1.0&amp;transitionType=DocumentItem&amp;contextData=(sc.DocLink)"/>
  <Relationship Id="r135"
    Type="http://schemas.openxmlformats.org/officeDocument/2006/relationships/hyperlink"
    TargetMode="External"
    Target="https://www.westlaw.com/Link/Document/FullText?findType=Y&amp;serNum=1992065644&amp;pubNum=345&amp;originatingDoc=If661ba714a5f11db99a18fc28eb0d9ae&amp;refType=RP&amp;fi=co_pp_sp_345_1086&amp;originationContext=document&amp;vr=3.0&amp;rs=cblt1.0&amp;transitionType=DocumentItem&amp;contextData=(sc.DocLink)#co_pp_sp_345_1086"/>
  <Relationship Id="r136"
    Type="http://schemas.openxmlformats.org/officeDocument/2006/relationships/hyperlink"
    TargetMode="External"
    Target="https://www.westlaw.com/Link/Document/FullText?findType=Y&amp;serNum=1996177411&amp;pubNum=506&amp;originatingDoc=If661ba714a5f11db99a18fc28eb0d9ae&amp;refType=RP&amp;originationContext=document&amp;vr=3.0&amp;rs=cblt1.0&amp;transitionType=DocumentItem&amp;contextData=(sc.DocLink)"/>
  <Relationship Id="r137"
    Type="http://schemas.openxmlformats.org/officeDocument/2006/relationships/hyperlink"
    TargetMode="External"
    Target="https://www.westlaw.com/Link/Document/FullText?findType=Y&amp;serNum=1996177411&amp;originatingDoc=If661ba714a5f11db99a18fc28eb0d9ae&amp;refType=RP&amp;originationContext=document&amp;vr=3.0&amp;rs=cblt1.0&amp;transitionType=DocumentItem&amp;contextData=(sc.DocLink)"/>
  <Relationship Id="r138"
    Type="http://schemas.openxmlformats.org/officeDocument/2006/relationships/hyperlink"
    TargetMode="External"
    Target="https://www.westlaw.com/Link/Document/FullText?findType=Y&amp;serNum=1994189140&amp;pubNum=345&amp;originatingDoc=If661ba714a5f11db99a18fc28eb0d9ae&amp;refType=RP&amp;fi=co_pp_sp_345_1229&amp;originationContext=document&amp;vr=3.0&amp;rs=cblt1.0&amp;transitionType=DocumentItem&amp;contextData=(sc.DocLink)#co_pp_sp_345_1229"/>
  <Relationship Id="r139"
    Type="http://schemas.openxmlformats.org/officeDocument/2006/relationships/hyperlink"
    TargetMode="External"
    Target="https://www.westlaw.com/Link/Document/FullText?findType=Y&amp;serNum=1992167512&amp;pubNum=345&amp;originatingDoc=If661ba714a5f11db99a18fc28eb0d9ae&amp;refType=RP&amp;fi=co_pp_sp_345_176&amp;originationContext=document&amp;vr=3.0&amp;rs=cblt1.0&amp;transitionType=DocumentItem&amp;contextData=(sc.DocLink)#co_pp_sp_345_176"/>
  <Relationship Id="r140"
    Type="http://schemas.openxmlformats.org/officeDocument/2006/relationships/hyperlink"
    TargetMode="External"
    Target="https://www.westlaw.com/Link/Document/FullText?findType=Y&amp;serNum=1980154006&amp;pubNum=350&amp;originatingDoc=If661ba714a5f11db99a18fc28eb0d9ae&amp;refType=RP&amp;fi=co_pp_sp_350_938&amp;originationContext=document&amp;vr=3.0&amp;rs=cblt1.0&amp;transitionType=DocumentItem&amp;contextData=(sc.DocLink)#co_pp_sp_350_938"/>
  <Relationship Id="r141"
    Type="http://schemas.openxmlformats.org/officeDocument/2006/relationships/hyperlink"
    TargetMode="External"
    Target="https://www.westlaw.com/Link/Document/FullText?findType=Y&amp;serNum=1989083462&amp;pubNum=345&amp;originatingDoc=If661ba714a5f11db99a18fc28eb0d9ae&amp;refType=RP&amp;fi=co_pp_sp_345_356&amp;originationContext=document&amp;vr=3.0&amp;rs=cblt1.0&amp;transitionType=DocumentItem&amp;contextData=(sc.DocLink)#co_pp_sp_345_356"/>
  <Relationship Id="r142"
    Type="http://schemas.openxmlformats.org/officeDocument/2006/relationships/hyperlink"
    TargetMode="External"
    Target="https://www.westlaw.com/Link/Document/FullText?findType=Y&amp;serNum=1991102989&amp;pubNum=780&amp;originatingDoc=If661ba714a5f11db99a18fc28eb0d9ae&amp;refType=RP&amp;fi=co_pp_sp_780_50&amp;originationContext=document&amp;vr=3.0&amp;rs=cblt1.0&amp;transitionType=DocumentItem&amp;contextData=(sc.DocLink)#co_pp_sp_780_50"/>
</Relationships>

</file>

<file path=_rels/footer1.xml.rels><?xml version="1.0" encoding="UTF-8"?>
<Relationships xmlns="http://schemas.openxmlformats.org/package/2006/relationships">
  <Relationship Id="r1"
    Type="http://schemas.openxmlformats.org/officeDocument/2006/relationships/image"
    Target="images/1.png"/>
</Relationships>

</file>

<file path=document.xml><?xml version="1.0" encoding="utf-8"?>
<w:document xmlns:w="http://schemas.openxmlformats.org/wordprocessingml/2006/main" xmlns:a="http://schemas.openxmlformats.org/drawingml/2006/main" xmlns:p="http://schemas.openxmlformats.org/drawingml/2006/picture" xmlns:wp="http://schemas.openxmlformats.org/drawingml/2006/wordprocessingDrawing" xmlns:r="http://schemas.openxmlformats.org/officeDocument/2006/relationships" xmlns:v="urn:schemas-microsoft-com:vml">
  <w:body>
    <w:bookmarkStart w:id="0" w:name="co_document_1"/>
    <w:p>
      <w:pPr>
        <w:pBdr>
          <w:top w:val="none" w:space="4"/>
        </w:pBdr>
        <w:spacing w:before="0" w:after="0" w:line="275" w:lineRule="atLeast"/>
        <w:jc w:val="both"/>
      </w:pPr>
      <w:bookmarkStart w:id="1" w:name="If661ba714a5f11db99a18fc28eb0d9ae_Targe"/>
      <w:bookmarkEnd w:id="1"/>
    </w:p>
    <w:bookmarkEnd w:id="0"/>
    <w:p>
      <w:pPr>
        <w:spacing w:before="0" w:after="0" w:line="240" w:lineRule="auto"/>
        <w:jc w:val="center"/>
      </w:pPr>
      <w:r>
        <w:rPr>
          <w:rFonts w:ascii="Georgia" w:hAnsi="Georgia"/>
          <w:color w:val="1f1f1f"/>
          <w:sz w:val="20"/>
        </w:rPr>
        <w:t>18 Rev. Litig. 1</w:t>
      </w:r>
    </w:p>
    <w:p>
      <w:pPr>
        <w:spacing w:before="514" w:after="0" w:line="240" w:lineRule="auto"/>
      </w:pPr>
      <w:r>
        <w:rPr>
          <w:rFonts w:ascii="Times New Roman" w:hAnsi="Times New Roman"/>
          <w:b/>
          <w:color w:val="6b6b6a"/>
          <w:sz w:val="18"/>
        </w:rPr>
        <w:t>Review of Litigation</w:t>
      </w:r>
    </w:p>
    <w:p>
      <w:pPr>
        <w:spacing w:before="0" w:after="0" w:line="275" w:lineRule="atLeast"/>
      </w:pPr>
      <w:r>
        <w:rPr>
          <w:rFonts w:ascii="Georgia" w:hAnsi="Georgia"/>
          <w:color w:val="6b6b6a"/>
          <w:sz w:val="18"/>
        </w:rPr>
        <w:t>Winter, 1999</w:t>
      </w:r>
    </w:p>
    <w:p>
      <w:pPr>
        <w:spacing w:before="364" w:after="0" w:line="240" w:lineRule="auto"/>
      </w:pPr>
      <w:r>
        <w:rPr>
          <w:rFonts w:ascii="Times New Roman" w:hAnsi="Times New Roman"/>
          <w:b/>
          <w:color w:val="6b6b6a"/>
          <w:sz w:val="18"/>
        </w:rPr>
        <w:t>Article</w:t>
      </w:r>
    </w:p>
    <w:p>
      <w:pPr>
        <w:spacing w:before="0" w:after="0" w:line="240" w:lineRule="auto"/>
      </w:pPr>
      <w:hyperlink r:id="r7">
        <w:r>
          <w:rPr>
            <w:rFonts w:ascii="Times New Roman" w:hAnsi="Times New Roman"/>
            <w:color w:val="006fc4"/>
            <w:sz w:val="20"/>
          </w:rPr>
          <w:t>David S. Coale</w:t>
        </w:r>
      </w:hyperlink>
      <w:bookmarkStart w:id="2" w:name="co_fnRef_Fa1110408358_ID0EDBAE_1"/>
      <w:hyperlink w:anchor="co_footnote_Fa1110408358_1">
        <w:r>
          <w:rPr>
            <w:rFonts w:ascii="Times New Roman" w:hAnsi="Times New Roman"/>
            <w:color w:val="006fc4"/>
            <w:sz w:val="16"/>
            <w:vertAlign w:val="superscript"/>
          </w:rPr>
          <w:t>a1</w:t>
        </w:r>
      </w:hyperlink>
      <w:bookmarkEnd w:id="2"/>
    </w:p>
    <w:p>
      <w:pPr>
        <w:spacing w:before="350" w:after="0" w:line="275" w:lineRule="atLeast"/>
      </w:pPr>
      <w:r>
        <w:rPr>
          <w:rFonts w:ascii="Times New Roman" w:hAnsi="Times New Roman"/>
          <w:color w:val="6b6b6a"/>
          <w:sz w:val="20"/>
        </w:rPr>
        <w:t>Copyright (c) 1999 University of Texas Law School Publications, Inc.; David S. Coale</w:t>
      </w:r>
    </w:p>
    <w:p>
      <w:pPr>
        <w:keepNext/>
        <w:keepLines/>
        <w:spacing w:before="850" w:after="0" w:line="275" w:lineRule="atLeast"/>
        <w:jc w:val="both"/>
      </w:pPr>
      <w:r>
        <w:rPr>
          <w:rFonts w:ascii="Times New Roman" w:hAnsi="Times New Roman"/>
          <w:b/>
          <w:color w:val="212121"/>
          <w:sz w:val="20"/>
        </w:rPr>
        <w:t>A NEW FRAMEWORK FOR JUDICIAL ESTOPPEL</w:t>
      </w:r>
    </w:p>
    <w:bookmarkStart w:id="3" w:name="co_g_ID0EYBAE_1"/>
    <w:p>
      <w:pPr>
        <w:spacing w:before="200" w:after="0" w:line="240" w:lineRule="auto"/>
      </w:pPr>
      <w:r>
        <w:rPr>
          <w:rFonts w:ascii="Times New Roman" w:hAnsi="Times New Roman"/>
          <w:b/>
          <w:color w:val="1f1f1f"/>
          <w:sz w:val="20"/>
        </w:rPr>
        <w:t>Table of Contents</w:t>
      </w:r>
    </w:p>
    <w:bookmarkEnd w:id="3"/>
    <w:p>
      <w:pPr>
        <w:spacing w:before="0" w:after="0" w:line="240" w:lineRule="auto"/>
        <w:rPr>
          <w:sz w:val="40"/>
        </w:rPr>
      </w:pPr>
    </w:p>
    <w:tbl>
      <w:tblPr>
        <w:tblInd w:w="30" w:type="dxa"/>
        <w:tblLayout w:type="fixed"/>
      </w:tblPr>
      <w:tblGrid>
        <w:gridCol w:w="1560"/>
        <w:gridCol w:w="7725"/>
        <w:gridCol w:w="780"/>
      </w:tblGrid>
      <w:bookmarkStart w:id="4" w:name="co_anchor_tbl3_1"/>
      <w:tr>
        <w:tblPrEx/>
        <w:trPr/>
        <w:tc>
          <w:tcPr>
            <w:tcMar>
              <w:left w:w="30" w:type="dxa"/>
              <w:right w:w="30" w:type="dxa"/>
            </w:tcMar>
            <w:vAlign w:val="top"/>
          </w:tcPr>
          <w:p>
            <w:pPr>
              <w:spacing w:before="0" w:after="0" w:line="235" w:lineRule="atLeast"/>
            </w:pPr>
            <w:hyperlink w:anchor="co_g_ID0EHKAE_1">
              <w:r>
                <w:rPr>
                  <w:rFonts w:ascii="Times New Roman" w:hAnsi="Times New Roman"/>
                  <w:color w:val="006fc4"/>
                  <w:sz w:val="20"/>
                  <w:vertAlign w:val="superscript"/>
                </w:rPr>
                <w:t>I.</w:t>
              </w:r>
            </w:hyperlink>
          </w:p>
        </w:tc>
        <w:tc>
          <w:tcPr>
            <w:vAlign w:val="top"/>
          </w:tcPr>
          <w:p>
            <w:pPr>
              <w:spacing w:before="0" w:after="0" w:line="235" w:lineRule="atLeast"/>
            </w:pPr>
            <w:hyperlink w:anchor="co_g_ID0EHKAE_1">
              <w:r>
                <w:rPr>
                  <w:rFonts w:ascii="Times New Roman" w:hAnsi="Times New Roman"/>
                  <w:color w:val="006fc4"/>
                  <w:sz w:val="20"/>
                  <w:vertAlign w:val="superscript"/>
                </w:rPr>
                <w:t>Introduction</w:t>
              </w:r>
            </w:hyperlink>
          </w:p>
        </w:tc>
        <w:tc>
          <w:tcPr>
            <w:tcMar>
              <w:left w:w="30" w:type="dxa"/>
              <w:right w:w="30" w:type="dxa"/>
            </w:tcMar>
            <w:vAlign w:val="top"/>
          </w:tcPr>
          <w:p>
            <w:pPr>
              <w:spacing w:before="0" w:after="0" w:line="235" w:lineRule="atLeast"/>
            </w:pPr>
            <w:hyperlink w:anchor="co_g_ID0EHKAE_1">
              <w:r>
                <w:rPr>
                  <w:rFonts w:ascii="Times New Roman" w:hAnsi="Times New Roman"/>
                  <w:color w:val="006fc4"/>
                  <w:sz w:val="20"/>
                  <w:vertAlign w:val="superscript"/>
                </w:rPr>
                <w:t>1</w:t>
              </w:r>
            </w:hyperlink>
          </w:p>
        </w:tc>
      </w:tr>
      <w:bookmarkEnd w:id="4"/>
      <w:tr>
        <w:tblPrEx/>
        <w:trPr/>
        <w:tc>
          <w:tcPr>
            <w:tcMar>
              <w:left w:w="30" w:type="dxa"/>
              <w:right w:w="30" w:type="dxa"/>
            </w:tcMar>
            <w:vAlign w:val="top"/>
          </w:tcPr>
          <w:p>
            <w:pPr>
              <w:spacing w:before="0" w:after="0" w:line="235" w:lineRule="atLeast"/>
            </w:pPr>
            <w:hyperlink w:anchor="co_g_ID0ERNAE_1">
              <w:r>
                <w:rPr>
                  <w:rFonts w:ascii="Times New Roman" w:hAnsi="Times New Roman"/>
                  <w:color w:val="006fc4"/>
                  <w:sz w:val="20"/>
                  <w:vertAlign w:val="superscript"/>
                </w:rPr>
                <w:t>II.</w:t>
              </w:r>
            </w:hyperlink>
          </w:p>
        </w:tc>
        <w:tc>
          <w:tcPr>
            <w:vAlign w:val="top"/>
          </w:tcPr>
          <w:p>
            <w:pPr>
              <w:spacing w:before="0" w:after="0" w:line="235" w:lineRule="atLeast"/>
            </w:pPr>
            <w:hyperlink w:anchor="co_g_ID0ERNAE_1">
              <w:r>
                <w:rPr>
                  <w:rFonts w:ascii="Times New Roman" w:hAnsi="Times New Roman"/>
                  <w:color w:val="006fc4"/>
                  <w:sz w:val="20"/>
                  <w:vertAlign w:val="superscript"/>
                </w:rPr>
                <w:t>The Doctrines of Judicial Estoppel and Judicial Admissions</w:t>
              </w:r>
            </w:hyperlink>
          </w:p>
        </w:tc>
        <w:tc>
          <w:tcPr>
            <w:tcMar>
              <w:left w:w="30" w:type="dxa"/>
              <w:right w:w="30" w:type="dxa"/>
            </w:tcMar>
            <w:vAlign w:val="top"/>
          </w:tcPr>
          <w:p>
            <w:pPr>
              <w:spacing w:before="0" w:after="0" w:line="235" w:lineRule="atLeast"/>
            </w:pPr>
            <w:hyperlink w:anchor="co_g_ID0ERNAE_1">
              <w:r>
                <w:rPr>
                  <w:rFonts w:ascii="Times New Roman" w:hAnsi="Times New Roman"/>
                  <w:color w:val="006fc4"/>
                  <w:sz w:val="20"/>
                  <w:vertAlign w:val="superscript"/>
                </w:rPr>
                <w:t>2</w:t>
              </w:r>
            </w:hyperlink>
          </w:p>
        </w:tc>
      </w:tr>
      <w:tr>
        <w:tblPrEx/>
        <w:trPr/>
        <w:tc>
          <w:tcPr>
            <w:tcMar>
              <w:left w:w="30" w:type="dxa"/>
              <w:right w:w="30" w:type="dxa"/>
            </w:tcMar>
            <w:vAlign w:val="top"/>
          </w:tcPr>
          <w:p>
            <w:pPr>
              <w:spacing w:before="0" w:after="0" w:line="240" w:lineRule="auto"/>
              <w:rPr>
                <w:rFonts w:ascii="Times New Roman" w:hAnsi="Times New Roman"/>
                <w:color w:val="1f1f1f"/>
                <w:sz w:val="20"/>
              </w:rPr>
            </w:pPr>
          </w:p>
        </w:tc>
        <w:tc>
          <w:tcPr>
            <w:vAlign w:val="top"/>
          </w:tcPr>
          <w:p>
            <w:pPr>
              <w:spacing w:before="0" w:after="0" w:line="235" w:lineRule="atLeast"/>
            </w:pPr>
            <w:hyperlink w:anchor="co_g_ID0E2NAE_1">
              <w:r>
                <w:rPr>
                  <w:rFonts w:ascii="Times New Roman" w:hAnsi="Times New Roman"/>
                  <w:color w:val="006fc4"/>
                  <w:sz w:val="20"/>
                  <w:vertAlign w:val="superscript"/>
                </w:rPr>
                <w:t xml:space="preserve"> A. Judicial Estoppel</w:t>
              </w:r>
            </w:hyperlink>
          </w:p>
        </w:tc>
        <w:tc>
          <w:tcPr>
            <w:tcMar>
              <w:left w:w="30" w:type="dxa"/>
              <w:right w:w="30" w:type="dxa"/>
            </w:tcMar>
            <w:vAlign w:val="top"/>
          </w:tcPr>
          <w:p>
            <w:pPr>
              <w:spacing w:before="0" w:after="0" w:line="235" w:lineRule="atLeast"/>
            </w:pPr>
            <w:hyperlink w:anchor="co_g_ID0E2NAE_1">
              <w:r>
                <w:rPr>
                  <w:rFonts w:ascii="Times New Roman" w:hAnsi="Times New Roman"/>
                  <w:color w:val="006fc4"/>
                  <w:sz w:val="20"/>
                  <w:vertAlign w:val="superscript"/>
                </w:rPr>
                <w:t>2</w:t>
              </w:r>
            </w:hyperlink>
          </w:p>
        </w:tc>
      </w:tr>
      <w:tr>
        <w:tblPrEx/>
        <w:trPr/>
        <w:tc>
          <w:tcPr>
            <w:tcMar>
              <w:left w:w="30" w:type="dxa"/>
              <w:right w:w="30" w:type="dxa"/>
            </w:tcMar>
            <w:vAlign w:val="top"/>
          </w:tcPr>
          <w:p>
            <w:pPr>
              <w:spacing w:before="0" w:after="0" w:line="240" w:lineRule="auto"/>
              <w:rPr>
                <w:rFonts w:ascii="Times New Roman" w:hAnsi="Times New Roman"/>
                <w:color w:val="1f1f1f"/>
                <w:sz w:val="20"/>
              </w:rPr>
            </w:pPr>
          </w:p>
        </w:tc>
        <w:tc>
          <w:tcPr>
            <w:vAlign w:val="top"/>
          </w:tcPr>
          <w:p>
            <w:pPr>
              <w:spacing w:before="0" w:after="0" w:line="235" w:lineRule="atLeast"/>
            </w:pPr>
            <w:hyperlink w:anchor="co_g_ID0EFPAE_1">
              <w:r>
                <w:rPr>
                  <w:rFonts w:ascii="Times New Roman" w:hAnsi="Times New Roman"/>
                  <w:color w:val="006fc4"/>
                  <w:sz w:val="20"/>
                  <w:vertAlign w:val="superscript"/>
                </w:rPr>
                <w:t xml:space="preserve"> 1. Jurisdictions accepting the doctrine</w:t>
              </w:r>
            </w:hyperlink>
          </w:p>
        </w:tc>
        <w:tc>
          <w:tcPr>
            <w:tcMar>
              <w:left w:w="30" w:type="dxa"/>
              <w:right w:w="30" w:type="dxa"/>
            </w:tcMar>
            <w:vAlign w:val="top"/>
          </w:tcPr>
          <w:p>
            <w:pPr>
              <w:spacing w:before="0" w:after="0" w:line="235" w:lineRule="atLeast"/>
            </w:pPr>
            <w:hyperlink w:anchor="co_g_ID0EFPAE_1">
              <w:r>
                <w:rPr>
                  <w:rFonts w:ascii="Times New Roman" w:hAnsi="Times New Roman"/>
                  <w:color w:val="006fc4"/>
                  <w:sz w:val="20"/>
                  <w:vertAlign w:val="superscript"/>
                </w:rPr>
                <w:t>3</w:t>
              </w:r>
            </w:hyperlink>
          </w:p>
        </w:tc>
      </w:tr>
      <w:tr>
        <w:tblPrEx/>
        <w:trPr/>
        <w:tc>
          <w:tcPr>
            <w:tcMar>
              <w:left w:w="30" w:type="dxa"/>
              <w:right w:w="30" w:type="dxa"/>
            </w:tcMar>
            <w:vAlign w:val="top"/>
          </w:tcPr>
          <w:p>
            <w:pPr>
              <w:spacing w:before="0" w:after="0" w:line="240" w:lineRule="auto"/>
              <w:rPr>
                <w:rFonts w:ascii="Times New Roman" w:hAnsi="Times New Roman"/>
                <w:color w:val="1f1f1f"/>
                <w:sz w:val="20"/>
              </w:rPr>
            </w:pPr>
          </w:p>
        </w:tc>
        <w:tc>
          <w:tcPr>
            <w:vAlign w:val="top"/>
          </w:tcPr>
          <w:p>
            <w:pPr>
              <w:spacing w:before="0" w:after="0" w:line="235" w:lineRule="atLeast"/>
            </w:pPr>
            <w:r>
              <w:rPr>
                <w:rFonts w:ascii="Times New Roman" w:hAnsi="Times New Roman"/>
                <w:color w:val="1f1f1f"/>
                <w:sz w:val="20"/>
              </w:rPr>
              <w:t>(a)Prior adoption</w:t>
            </w:r>
          </w:p>
        </w:tc>
        <w:tc>
          <w:tcPr>
            <w:tcMar>
              <w:left w:w="30" w:type="dxa"/>
              <w:right w:w="30" w:type="dxa"/>
            </w:tcMar>
            <w:vAlign w:val="top"/>
          </w:tcPr>
          <w:p>
            <w:pPr>
              <w:spacing w:before="0" w:after="0" w:line="235" w:lineRule="atLeast"/>
            </w:pPr>
            <w:r>
              <w:rPr>
                <w:rFonts w:ascii="Times New Roman" w:hAnsi="Times New Roman"/>
                <w:color w:val="1f1f1f"/>
                <w:sz w:val="20"/>
              </w:rPr>
              <w:t>4</w:t>
            </w:r>
          </w:p>
        </w:tc>
      </w:tr>
      <w:tr>
        <w:tblPrEx/>
        <w:trPr/>
        <w:tc>
          <w:tcPr>
            <w:tcMar>
              <w:left w:w="30" w:type="dxa"/>
              <w:right w:w="30" w:type="dxa"/>
            </w:tcMar>
            <w:vAlign w:val="top"/>
          </w:tcPr>
          <w:p>
            <w:pPr>
              <w:spacing w:before="0" w:after="0" w:line="240" w:lineRule="auto"/>
              <w:rPr>
                <w:rFonts w:ascii="Times New Roman" w:hAnsi="Times New Roman"/>
                <w:color w:val="1f1f1f"/>
                <w:sz w:val="20"/>
              </w:rPr>
            </w:pPr>
          </w:p>
        </w:tc>
        <w:tc>
          <w:tcPr>
            <w:vAlign w:val="top"/>
          </w:tcPr>
          <w:p>
            <w:pPr>
              <w:spacing w:before="0" w:after="0" w:line="235" w:lineRule="atLeast"/>
            </w:pPr>
            <w:r>
              <w:rPr>
                <w:rFonts w:ascii="Times New Roman" w:hAnsi="Times New Roman"/>
                <w:color w:val="1f1f1f"/>
                <w:sz w:val="20"/>
              </w:rPr>
              <w:t>(b)Playing “fast and loose” with the system</w:t>
            </w:r>
          </w:p>
        </w:tc>
        <w:tc>
          <w:tcPr>
            <w:tcMar>
              <w:left w:w="30" w:type="dxa"/>
              <w:right w:w="30" w:type="dxa"/>
            </w:tcMar>
            <w:vAlign w:val="top"/>
          </w:tcPr>
          <w:p>
            <w:pPr>
              <w:spacing w:before="0" w:after="0" w:line="235" w:lineRule="atLeast"/>
            </w:pPr>
            <w:r>
              <w:rPr>
                <w:rFonts w:ascii="Times New Roman" w:hAnsi="Times New Roman"/>
                <w:color w:val="1f1f1f"/>
                <w:sz w:val="20"/>
              </w:rPr>
              <w:t>6</w:t>
            </w:r>
          </w:p>
        </w:tc>
      </w:tr>
      <w:tr>
        <w:tblPrEx/>
        <w:trPr/>
        <w:tc>
          <w:tcPr>
            <w:tcMar>
              <w:left w:w="30" w:type="dxa"/>
              <w:right w:w="30" w:type="dxa"/>
            </w:tcMar>
            <w:vAlign w:val="top"/>
          </w:tcPr>
          <w:p>
            <w:pPr>
              <w:spacing w:before="0" w:after="0" w:line="240" w:lineRule="auto"/>
              <w:rPr>
                <w:rFonts w:ascii="Times New Roman" w:hAnsi="Times New Roman"/>
                <w:color w:val="1f1f1f"/>
                <w:sz w:val="20"/>
              </w:rPr>
            </w:pPr>
          </w:p>
        </w:tc>
        <w:tc>
          <w:tcPr>
            <w:vAlign w:val="top"/>
          </w:tcPr>
          <w:p>
            <w:pPr>
              <w:spacing w:before="0" w:after="0" w:line="235" w:lineRule="atLeast"/>
            </w:pPr>
            <w:r>
              <w:rPr>
                <w:rFonts w:ascii="Times New Roman" w:hAnsi="Times New Roman"/>
                <w:color w:val="1f1f1f"/>
                <w:sz w:val="20"/>
              </w:rPr>
              <w:t>(c)Character of the statement</w:t>
            </w:r>
          </w:p>
        </w:tc>
        <w:tc>
          <w:tcPr>
            <w:tcMar>
              <w:left w:w="30" w:type="dxa"/>
              <w:right w:w="30" w:type="dxa"/>
            </w:tcMar>
            <w:vAlign w:val="top"/>
          </w:tcPr>
          <w:p>
            <w:pPr>
              <w:spacing w:before="0" w:after="0" w:line="235" w:lineRule="atLeast"/>
            </w:pPr>
            <w:r>
              <w:rPr>
                <w:rFonts w:ascii="Times New Roman" w:hAnsi="Times New Roman"/>
                <w:color w:val="1f1f1f"/>
                <w:sz w:val="20"/>
              </w:rPr>
              <w:t>7</w:t>
            </w:r>
          </w:p>
        </w:tc>
      </w:tr>
      <w:tr>
        <w:tblPrEx/>
        <w:trPr/>
        <w:tc>
          <w:tcPr>
            <w:tcMar>
              <w:left w:w="30" w:type="dxa"/>
              <w:right w:w="30" w:type="dxa"/>
            </w:tcMar>
            <w:vAlign w:val="top"/>
          </w:tcPr>
          <w:p>
            <w:pPr>
              <w:spacing w:before="0" w:after="0" w:line="240" w:lineRule="auto"/>
              <w:rPr>
                <w:rFonts w:ascii="Times New Roman" w:hAnsi="Times New Roman"/>
                <w:color w:val="1f1f1f"/>
                <w:sz w:val="20"/>
              </w:rPr>
            </w:pPr>
          </w:p>
        </w:tc>
        <w:tc>
          <w:tcPr>
            <w:vAlign w:val="top"/>
          </w:tcPr>
          <w:p>
            <w:pPr>
              <w:spacing w:before="0" w:after="0" w:line="235" w:lineRule="atLeast"/>
            </w:pPr>
            <w:hyperlink w:anchor="co_g_ID0EH4AE_1">
              <w:r>
                <w:rPr>
                  <w:rFonts w:ascii="Times New Roman" w:hAnsi="Times New Roman"/>
                  <w:color w:val="006fc4"/>
                  <w:sz w:val="20"/>
                  <w:vertAlign w:val="superscript"/>
                </w:rPr>
                <w:t xml:space="preserve"> 2. Jurisdictions rejecting the doctrine</w:t>
              </w:r>
            </w:hyperlink>
          </w:p>
        </w:tc>
        <w:tc>
          <w:tcPr>
            <w:tcMar>
              <w:left w:w="30" w:type="dxa"/>
              <w:right w:w="30" w:type="dxa"/>
            </w:tcMar>
            <w:vAlign w:val="top"/>
          </w:tcPr>
          <w:p>
            <w:pPr>
              <w:spacing w:before="0" w:after="0" w:line="235" w:lineRule="atLeast"/>
            </w:pPr>
            <w:hyperlink w:anchor="co_g_ID0EH4AE_1">
              <w:r>
                <w:rPr>
                  <w:rFonts w:ascii="Times New Roman" w:hAnsi="Times New Roman"/>
                  <w:color w:val="006fc4"/>
                  <w:sz w:val="20"/>
                  <w:vertAlign w:val="superscript"/>
                </w:rPr>
                <w:t>10</w:t>
              </w:r>
            </w:hyperlink>
          </w:p>
        </w:tc>
      </w:tr>
      <w:tr>
        <w:tblPrEx/>
        <w:trPr/>
        <w:tc>
          <w:tcPr>
            <w:tcMar>
              <w:left w:w="30" w:type="dxa"/>
              <w:right w:w="30" w:type="dxa"/>
            </w:tcMar>
            <w:vAlign w:val="top"/>
          </w:tcPr>
          <w:p>
            <w:pPr>
              <w:spacing w:before="0" w:after="0" w:line="240" w:lineRule="auto"/>
              <w:rPr>
                <w:rFonts w:ascii="Times New Roman" w:hAnsi="Times New Roman"/>
                <w:color w:val="1f1f1f"/>
                <w:sz w:val="20"/>
              </w:rPr>
            </w:pPr>
          </w:p>
        </w:tc>
        <w:tc>
          <w:tcPr>
            <w:vAlign w:val="top"/>
          </w:tcPr>
          <w:p>
            <w:pPr>
              <w:spacing w:before="0" w:after="0" w:line="235" w:lineRule="atLeast"/>
            </w:pPr>
            <w:hyperlink w:anchor="co_g_ID0EVBAG_1">
              <w:r>
                <w:rPr>
                  <w:rFonts w:ascii="Times New Roman" w:hAnsi="Times New Roman"/>
                  <w:color w:val="006fc4"/>
                  <w:sz w:val="20"/>
                  <w:vertAlign w:val="superscript"/>
                </w:rPr>
                <w:t xml:space="preserve"> B. Judicial Admissions</w:t>
              </w:r>
            </w:hyperlink>
          </w:p>
        </w:tc>
        <w:tc>
          <w:tcPr>
            <w:tcMar>
              <w:left w:w="30" w:type="dxa"/>
              <w:right w:w="30" w:type="dxa"/>
            </w:tcMar>
            <w:vAlign w:val="top"/>
          </w:tcPr>
          <w:p>
            <w:pPr>
              <w:spacing w:before="0" w:after="0" w:line="235" w:lineRule="atLeast"/>
            </w:pPr>
            <w:hyperlink w:anchor="co_g_ID0EVBAG_1">
              <w:r>
                <w:rPr>
                  <w:rFonts w:ascii="Times New Roman" w:hAnsi="Times New Roman"/>
                  <w:color w:val="006fc4"/>
                  <w:sz w:val="20"/>
                  <w:vertAlign w:val="superscript"/>
                </w:rPr>
                <w:t>12</w:t>
              </w:r>
            </w:hyperlink>
          </w:p>
        </w:tc>
      </w:tr>
      <w:tr>
        <w:tblPrEx/>
        <w:trPr/>
        <w:tc>
          <w:tcPr>
            <w:tcMar>
              <w:left w:w="30" w:type="dxa"/>
              <w:right w:w="30" w:type="dxa"/>
            </w:tcMar>
            <w:vAlign w:val="top"/>
          </w:tcPr>
          <w:p>
            <w:pPr>
              <w:spacing w:before="0" w:after="0" w:line="235" w:lineRule="atLeast"/>
            </w:pPr>
            <w:hyperlink w:anchor="co_g_ID0EUHAG_1">
              <w:r>
                <w:rPr>
                  <w:rFonts w:ascii="Times New Roman" w:hAnsi="Times New Roman"/>
                  <w:color w:val="006fc4"/>
                  <w:sz w:val="20"/>
                  <w:vertAlign w:val="superscript"/>
                </w:rPr>
                <w:t>III.</w:t>
              </w:r>
            </w:hyperlink>
          </w:p>
        </w:tc>
        <w:tc>
          <w:tcPr>
            <w:vAlign w:val="top"/>
          </w:tcPr>
          <w:p>
            <w:pPr>
              <w:spacing w:before="0" w:after="0" w:line="235" w:lineRule="atLeast"/>
            </w:pPr>
            <w:hyperlink w:anchor="co_g_ID0EUHAG_1">
              <w:r>
                <w:rPr>
                  <w:rFonts w:ascii="Times New Roman" w:hAnsi="Times New Roman"/>
                  <w:color w:val="006fc4"/>
                  <w:sz w:val="20"/>
                  <w:vertAlign w:val="superscript"/>
                </w:rPr>
                <w:t>Comparison of the Two Doctrines</w:t>
              </w:r>
            </w:hyperlink>
          </w:p>
        </w:tc>
        <w:tc>
          <w:tcPr>
            <w:tcMar>
              <w:left w:w="30" w:type="dxa"/>
              <w:right w:w="30" w:type="dxa"/>
            </w:tcMar>
            <w:vAlign w:val="top"/>
          </w:tcPr>
          <w:p>
            <w:pPr>
              <w:spacing w:before="0" w:after="0" w:line="235" w:lineRule="atLeast"/>
            </w:pPr>
            <w:hyperlink w:anchor="co_g_ID0EUHAG_1">
              <w:r>
                <w:rPr>
                  <w:rFonts w:ascii="Times New Roman" w:hAnsi="Times New Roman"/>
                  <w:color w:val="006fc4"/>
                  <w:sz w:val="20"/>
                  <w:vertAlign w:val="superscript"/>
                </w:rPr>
                <w:t>15</w:t>
              </w:r>
            </w:hyperlink>
          </w:p>
        </w:tc>
      </w:tr>
      <w:tr>
        <w:tblPrEx/>
        <w:trPr/>
        <w:tc>
          <w:tcPr>
            <w:tcMar>
              <w:left w:w="30" w:type="dxa"/>
              <w:right w:w="30" w:type="dxa"/>
            </w:tcMar>
            <w:vAlign w:val="top"/>
          </w:tcPr>
          <w:p>
            <w:pPr>
              <w:spacing w:before="0" w:after="0" w:line="240" w:lineRule="auto"/>
              <w:rPr>
                <w:rFonts w:ascii="Times New Roman" w:hAnsi="Times New Roman"/>
                <w:color w:val="1f1f1f"/>
                <w:sz w:val="20"/>
              </w:rPr>
            </w:pPr>
          </w:p>
        </w:tc>
        <w:tc>
          <w:tcPr>
            <w:vAlign w:val="top"/>
          </w:tcPr>
          <w:p>
            <w:pPr>
              <w:spacing w:before="0" w:after="0" w:line="235" w:lineRule="atLeast"/>
            </w:pPr>
            <w:hyperlink w:anchor="co_g_ID0ECIAG_1">
              <w:r>
                <w:rPr>
                  <w:rFonts w:ascii="Times New Roman" w:hAnsi="Times New Roman"/>
                  <w:color w:val="006fc4"/>
                  <w:sz w:val="20"/>
                  <w:vertAlign w:val="superscript"/>
                </w:rPr>
                <w:t xml:space="preserve"> A. Similar Effects</w:t>
              </w:r>
            </w:hyperlink>
          </w:p>
        </w:tc>
        <w:tc>
          <w:tcPr>
            <w:tcMar>
              <w:left w:w="30" w:type="dxa"/>
              <w:right w:w="30" w:type="dxa"/>
            </w:tcMar>
            <w:vAlign w:val="top"/>
          </w:tcPr>
          <w:p>
            <w:pPr>
              <w:spacing w:before="0" w:after="0" w:line="235" w:lineRule="atLeast"/>
            </w:pPr>
            <w:hyperlink w:anchor="co_g_ID0ECIAG_1">
              <w:r>
                <w:rPr>
                  <w:rFonts w:ascii="Times New Roman" w:hAnsi="Times New Roman"/>
                  <w:color w:val="006fc4"/>
                  <w:sz w:val="20"/>
                  <w:vertAlign w:val="superscript"/>
                </w:rPr>
                <w:t>15</w:t>
              </w:r>
            </w:hyperlink>
          </w:p>
        </w:tc>
      </w:tr>
      <w:tr>
        <w:tblPrEx/>
        <w:trPr/>
        <w:tc>
          <w:tcPr>
            <w:tcMar>
              <w:left w:w="30" w:type="dxa"/>
              <w:right w:w="30" w:type="dxa"/>
            </w:tcMar>
            <w:vAlign w:val="top"/>
          </w:tcPr>
          <w:p>
            <w:pPr>
              <w:spacing w:before="0" w:after="0" w:line="240" w:lineRule="auto"/>
              <w:rPr>
                <w:rFonts w:ascii="Times New Roman" w:hAnsi="Times New Roman"/>
                <w:color w:val="1f1f1f"/>
                <w:sz w:val="20"/>
              </w:rPr>
            </w:pPr>
          </w:p>
        </w:tc>
        <w:tc>
          <w:tcPr>
            <w:vAlign w:val="top"/>
          </w:tcPr>
          <w:p>
            <w:pPr>
              <w:spacing w:before="0" w:after="0" w:line="235" w:lineRule="atLeast"/>
            </w:pPr>
            <w:hyperlink w:anchor="co_g_ID0EVNAG_1">
              <w:r>
                <w:rPr>
                  <w:rFonts w:ascii="Times New Roman" w:hAnsi="Times New Roman"/>
                  <w:color w:val="006fc4"/>
                  <w:sz w:val="20"/>
                  <w:vertAlign w:val="superscript"/>
                </w:rPr>
                <w:t xml:space="preserve"> B. Recognition of the Similarities</w:t>
              </w:r>
            </w:hyperlink>
          </w:p>
        </w:tc>
        <w:tc>
          <w:tcPr>
            <w:tcMar>
              <w:left w:w="30" w:type="dxa"/>
              <w:right w:w="30" w:type="dxa"/>
            </w:tcMar>
            <w:vAlign w:val="top"/>
          </w:tcPr>
          <w:p>
            <w:pPr>
              <w:spacing w:before="0" w:after="0" w:line="235" w:lineRule="atLeast"/>
            </w:pPr>
            <w:hyperlink w:anchor="co_g_ID0EVNAG_1">
              <w:r>
                <w:rPr>
                  <w:rFonts w:ascii="Times New Roman" w:hAnsi="Times New Roman"/>
                  <w:color w:val="006fc4"/>
                  <w:sz w:val="20"/>
                  <w:vertAlign w:val="superscript"/>
                </w:rPr>
                <w:t>17</w:t>
              </w:r>
            </w:hyperlink>
          </w:p>
        </w:tc>
      </w:tr>
      <w:tr>
        <w:tblPrEx/>
        <w:trPr/>
        <w:tc>
          <w:tcPr>
            <w:tcMar>
              <w:left w:w="30" w:type="dxa"/>
              <w:right w:w="30" w:type="dxa"/>
            </w:tcMar>
            <w:vAlign w:val="top"/>
          </w:tcPr>
          <w:p>
            <w:pPr>
              <w:spacing w:before="0" w:after="0" w:line="240" w:lineRule="auto"/>
              <w:rPr>
                <w:rFonts w:ascii="Times New Roman" w:hAnsi="Times New Roman"/>
                <w:color w:val="1f1f1f"/>
                <w:sz w:val="20"/>
              </w:rPr>
            </w:pPr>
          </w:p>
        </w:tc>
        <w:tc>
          <w:tcPr>
            <w:vAlign w:val="top"/>
          </w:tcPr>
          <w:p>
            <w:pPr>
              <w:spacing w:before="0" w:after="0" w:line="235" w:lineRule="atLeast"/>
            </w:pPr>
            <w:hyperlink w:anchor="co_g_ID0EUOAG_1">
              <w:r>
                <w:rPr>
                  <w:rFonts w:ascii="Times New Roman" w:hAnsi="Times New Roman"/>
                  <w:color w:val="006fc4"/>
                  <w:sz w:val="20"/>
                  <w:vertAlign w:val="superscript"/>
                </w:rPr>
                <w:t xml:space="preserve"> 1. Relevant statements</w:t>
              </w:r>
            </w:hyperlink>
          </w:p>
        </w:tc>
        <w:tc>
          <w:tcPr>
            <w:tcMar>
              <w:left w:w="30" w:type="dxa"/>
              <w:right w:w="30" w:type="dxa"/>
            </w:tcMar>
            <w:vAlign w:val="top"/>
          </w:tcPr>
          <w:p>
            <w:pPr>
              <w:spacing w:before="0" w:after="0" w:line="235" w:lineRule="atLeast"/>
            </w:pPr>
            <w:hyperlink w:anchor="co_g_ID0EUOAG_1">
              <w:r>
                <w:rPr>
                  <w:rFonts w:ascii="Times New Roman" w:hAnsi="Times New Roman"/>
                  <w:color w:val="006fc4"/>
                  <w:sz w:val="20"/>
                  <w:vertAlign w:val="superscript"/>
                </w:rPr>
                <w:t>17</w:t>
              </w:r>
            </w:hyperlink>
          </w:p>
        </w:tc>
      </w:tr>
      <w:tr>
        <w:tblPrEx/>
        <w:trPr/>
        <w:tc>
          <w:tcPr>
            <w:tcMar>
              <w:left w:w="30" w:type="dxa"/>
              <w:right w:w="30" w:type="dxa"/>
            </w:tcMar>
            <w:vAlign w:val="top"/>
          </w:tcPr>
          <w:p>
            <w:pPr>
              <w:spacing w:before="0" w:after="0" w:line="240" w:lineRule="auto"/>
              <w:rPr>
                <w:rFonts w:ascii="Times New Roman" w:hAnsi="Times New Roman"/>
                <w:color w:val="1f1f1f"/>
                <w:sz w:val="20"/>
              </w:rPr>
            </w:pPr>
          </w:p>
        </w:tc>
        <w:tc>
          <w:tcPr>
            <w:vAlign w:val="top"/>
          </w:tcPr>
          <w:p>
            <w:pPr>
              <w:spacing w:before="0" w:after="0" w:line="235" w:lineRule="atLeast"/>
            </w:pPr>
            <w:hyperlink w:anchor="co_g_ID0EARAG_1">
              <w:r>
                <w:rPr>
                  <w:rFonts w:ascii="Times New Roman" w:hAnsi="Times New Roman"/>
                  <w:color w:val="006fc4"/>
                  <w:sz w:val="20"/>
                  <w:vertAlign w:val="superscript"/>
                </w:rPr>
                <w:t xml:space="preserve"> 2. Level of inconsistency</w:t>
              </w:r>
            </w:hyperlink>
          </w:p>
        </w:tc>
        <w:tc>
          <w:tcPr>
            <w:tcMar>
              <w:left w:w="30" w:type="dxa"/>
              <w:right w:w="30" w:type="dxa"/>
            </w:tcMar>
            <w:vAlign w:val="top"/>
          </w:tcPr>
          <w:p>
            <w:pPr>
              <w:spacing w:before="0" w:after="0" w:line="235" w:lineRule="atLeast"/>
            </w:pPr>
            <w:hyperlink w:anchor="co_g_ID0EARAG_1">
              <w:r>
                <w:rPr>
                  <w:rFonts w:ascii="Times New Roman" w:hAnsi="Times New Roman"/>
                  <w:color w:val="006fc4"/>
                  <w:sz w:val="20"/>
                  <w:vertAlign w:val="superscript"/>
                </w:rPr>
                <w:t>18</w:t>
              </w:r>
            </w:hyperlink>
          </w:p>
        </w:tc>
      </w:tr>
      <w:tr>
        <w:tblPrEx/>
        <w:trPr/>
        <w:tc>
          <w:tcPr>
            <w:tcMar>
              <w:left w:w="30" w:type="dxa"/>
              <w:right w:w="30" w:type="dxa"/>
            </w:tcMar>
            <w:vAlign w:val="top"/>
          </w:tcPr>
          <w:p>
            <w:pPr>
              <w:spacing w:before="0" w:after="0" w:line="235" w:lineRule="atLeast"/>
            </w:pPr>
            <w:hyperlink w:anchor="co_g_ID0EK5AG_1">
              <w:r>
                <w:rPr>
                  <w:rFonts w:ascii="Times New Roman" w:hAnsi="Times New Roman"/>
                  <w:color w:val="006fc4"/>
                  <w:sz w:val="20"/>
                  <w:vertAlign w:val="superscript"/>
                </w:rPr>
                <w:t>IV.</w:t>
              </w:r>
            </w:hyperlink>
          </w:p>
        </w:tc>
        <w:tc>
          <w:tcPr>
            <w:vAlign w:val="top"/>
          </w:tcPr>
          <w:p>
            <w:pPr>
              <w:spacing w:before="0" w:after="0" w:line="235" w:lineRule="atLeast"/>
            </w:pPr>
            <w:hyperlink w:anchor="co_g_ID0EK5AG_1">
              <w:r>
                <w:rPr>
                  <w:rFonts w:ascii="Times New Roman" w:hAnsi="Times New Roman"/>
                  <w:color w:val="006fc4"/>
                  <w:sz w:val="20"/>
                  <w:vertAlign w:val="superscript"/>
                </w:rPr>
                <w:t>Conclusion</w:t>
              </w:r>
            </w:hyperlink>
          </w:p>
        </w:tc>
        <w:tc>
          <w:tcPr>
            <w:tcMar>
              <w:left w:w="30" w:type="dxa"/>
              <w:right w:w="30" w:type="dxa"/>
            </w:tcMar>
            <w:vAlign w:val="top"/>
          </w:tcPr>
          <w:p>
            <w:pPr>
              <w:spacing w:before="0" w:after="0" w:line="235" w:lineRule="atLeast"/>
            </w:pPr>
            <w:hyperlink w:anchor="co_g_ID0EK5AG_1">
              <w:r>
                <w:rPr>
                  <w:rFonts w:ascii="Times New Roman" w:hAnsi="Times New Roman"/>
                  <w:color w:val="006fc4"/>
                  <w:sz w:val="20"/>
                  <w:vertAlign w:val="superscript"/>
                </w:rPr>
                <w:t>25</w:t>
              </w:r>
            </w:hyperlink>
          </w:p>
        </w:tc>
      </w:tr>
    </w:tbl>
    <w:bookmarkStart w:id="5" w:name="co_g_ID0EHKAE_1"/>
    <w:p>
      <w:pPr>
        <w:spacing w:before="400" w:after="0" w:line="240" w:lineRule="auto"/>
      </w:pPr>
      <w:r>
        <w:rPr>
          <w:rFonts w:ascii="Times New Roman" w:hAnsi="Times New Roman"/>
          <w:b/>
          <w:color w:val="1f1f1f"/>
          <w:sz w:val="20"/>
        </w:rPr>
        <w:t>I. Introduction</w:t>
      </w:r>
    </w:p>
    <w:bookmarkEnd w:id="5"/>
    <w:bookmarkStart w:id="6" w:name="co_g_ID0ERKAE_1"/>
    <w:p>
      <w:pPr>
        <w:spacing w:before="200" w:after="0" w:line="275" w:lineRule="atLeast"/>
        <w:jc w:val="both"/>
      </w:pPr>
      <w:r>
        <w:rPr>
          <w:rFonts w:ascii="Times New Roman" w:hAnsi="Times New Roman"/>
          <w:color w:val="1f1f1f"/>
          <w:sz w:val="20"/>
        </w:rPr>
        <w:t>The doctrine of judicial estoppel prevents a party from asserting inconsistent positions in different lawsuits. It strives on the one hand to avoid “the perversion of judicial machinery,”</w:t>
      </w:r>
      <w:bookmarkStart w:id="7" w:name="co_fnRef_F1110408358_ID0E1KAE_1"/>
      <w:hyperlink w:anchor="co_footnote_F1110408358_1">
        <w:r>
          <w:rPr>
            <w:rFonts w:ascii="Times New Roman" w:hAnsi="Times New Roman"/>
            <w:color w:val="006fc4"/>
            <w:sz w:val="16"/>
            <w:vertAlign w:val="superscript"/>
          </w:rPr>
          <w:t>1</w:t>
        </w:r>
      </w:hyperlink>
      <w:bookmarkEnd w:id="7"/>
      <w:r>
        <w:rPr>
          <w:rFonts w:ascii="Times New Roman" w:hAnsi="Times New Roman"/>
          <w:color w:val="1f1f1f"/>
          <w:sz w:val="20"/>
        </w:rPr>
        <w:t xml:space="preserve"> and on the other to avoid the “suppression of truth in the future.”</w:t>
      </w:r>
      <w:bookmarkStart w:id="8" w:name="co_fnRef_F2110408358_ID0EILAE_1"/>
      <w:hyperlink w:anchor="co_footnote_F2110408358_1">
        <w:r>
          <w:rPr>
            <w:rFonts w:ascii="Times New Roman" w:hAnsi="Times New Roman"/>
            <w:color w:val="006fc4"/>
            <w:sz w:val="16"/>
            <w:vertAlign w:val="superscript"/>
          </w:rPr>
          <w:t>2</w:t>
        </w:r>
      </w:hyperlink>
      <w:bookmarkEnd w:id="8"/>
      <w:r>
        <w:rPr>
          <w:rFonts w:ascii="Times New Roman" w:hAnsi="Times New Roman"/>
          <w:color w:val="1f1f1f"/>
          <w:sz w:val="20"/>
        </w:rPr>
        <w:t xml:space="preserve"> The doctrine has </w:t>
      </w:r>
      <w:bookmarkStart w:id="9" w:name="co_pp_sp_100385_2_1"/>
      <w:r>
        <w:rPr>
          <w:rFonts w:ascii="Times New Roman" w:hAnsi="Times New Roman"/>
          <w:b/>
          <w:color w:val="000000"/>
          <w:sz w:val="20"/>
        </w:rPr>
        <w:t>*2</w:t>
      </w:r>
      <w:bookmarkEnd w:id="9"/>
      <w:r>
        <w:rPr>
          <w:rFonts w:ascii="Times New Roman" w:hAnsi="Times New Roman"/>
          <w:color w:val="1f1f1f"/>
          <w:sz w:val="20"/>
        </w:rPr>
        <w:t xml:space="preserve"> never enjoyed a consensus in the courts about either its elements or even its existence. Even where it is accepted, courts differ about the kinds of statements that invoke the doctrine and about how inconsistent those statements must be in order to trigger an estoppel.</w:t>
      </w:r>
      <w:bookmarkStart w:id="10" w:name="co_fnRef_F3110408358_ID0EULAE_1"/>
      <w:hyperlink w:anchor="co_footnote_F3110408358_1">
        <w:r>
          <w:rPr>
            <w:rFonts w:ascii="Times New Roman" w:hAnsi="Times New Roman"/>
            <w:color w:val="006fc4"/>
            <w:sz w:val="16"/>
            <w:vertAlign w:val="superscript"/>
          </w:rPr>
          <w:t>3</w:t>
        </w:r>
      </w:hyperlink>
      <w:bookmarkEnd w:id="10"/>
    </w:p>
    <w:bookmarkEnd w:id="6"/>
    <w:p>
      <w:pPr>
        <w:spacing w:before="0" w:after="0" w:line="275" w:lineRule="atLeast"/>
        <w:jc w:val="both"/>
      </w:pPr>
      <w:r>
        <w:rPr>
          <w:rFonts w:ascii="Times New Roman" w:hAnsi="Times New Roman"/>
          <w:color w:val="1f1f1f"/>
          <w:sz w:val="20"/>
        </w:rPr>
        <w:t> </w:t>
      </w:r>
    </w:p>
    <w:bookmarkStart w:id="11" w:name="co_g_ID0E2LAE_1"/>
    <w:p>
      <w:pPr>
        <w:spacing w:before="0" w:after="0" w:line="275" w:lineRule="atLeast"/>
        <w:jc w:val="both"/>
      </w:pPr>
      <w:r>
        <w:rPr>
          <w:rFonts w:ascii="Times New Roman" w:hAnsi="Times New Roman"/>
          <w:color w:val="1f1f1f"/>
          <w:sz w:val="20"/>
        </w:rPr>
        <w:t>In contrast, the concept of judicial admissions is widely recognized. A judicial admission is a statement by a party or its counsel that is treated as conclusively establishing a matter, thereby eliminating the need for proof on the issue.</w:t>
      </w:r>
      <w:bookmarkStart w:id="12" w:name="co_fnRef_F4110408358_ID0EGMAE_1"/>
      <w:hyperlink w:anchor="co_footnote_F4110408358_1">
        <w:r>
          <w:rPr>
            <w:rFonts w:ascii="Times New Roman" w:hAnsi="Times New Roman"/>
            <w:color w:val="006fc4"/>
            <w:sz w:val="16"/>
            <w:vertAlign w:val="superscript"/>
          </w:rPr>
          <w:t>4</w:t>
        </w:r>
      </w:hyperlink>
      <w:bookmarkEnd w:id="12"/>
      <w:r>
        <w:rPr>
          <w:rFonts w:ascii="Times New Roman" w:hAnsi="Times New Roman"/>
          <w:color w:val="1f1f1f"/>
          <w:sz w:val="20"/>
        </w:rPr>
        <w:t xml:space="preserve"> A judicial admission differs from an evidentiary admission, which a party is allowed to contradict at trial.</w:t>
      </w:r>
      <w:bookmarkStart w:id="13" w:name="co_fnRef_F5110408358_ID0ELMAE_1"/>
      <w:hyperlink w:anchor="co_footnote_F5110408358_1">
        <w:r>
          <w:rPr>
            <w:rFonts w:ascii="Times New Roman" w:hAnsi="Times New Roman"/>
            <w:color w:val="006fc4"/>
            <w:sz w:val="16"/>
            <w:vertAlign w:val="superscript"/>
          </w:rPr>
          <w:t>5</w:t>
        </w:r>
      </w:hyperlink>
      <w:bookmarkEnd w:id="13"/>
      <w:r>
        <w:rPr>
          <w:rFonts w:ascii="Times New Roman" w:hAnsi="Times New Roman"/>
          <w:color w:val="1f1f1f"/>
          <w:sz w:val="20"/>
        </w:rPr>
        <w:t xml:space="preserve"> This Article proposes that the judicial admission doctrine could help develop a framework for the analysis of judicial estoppel issues. Both the doctrines of judicial estoppel and judicial admissions define categories of statements that cannot be contradicted. Because the doctrines have similar goals, the concepts developed in judicial admission law could help courts clarify areas that are now unsettled in judicial estoppel law.</w:t>
      </w:r>
    </w:p>
    <w:bookmarkEnd w:id="11"/>
    <w:p>
      <w:pPr>
        <w:spacing w:before="0" w:after="0" w:line="275" w:lineRule="atLeast"/>
        <w:jc w:val="both"/>
      </w:pPr>
      <w:r>
        <w:rPr>
          <w:rFonts w:ascii="Times New Roman" w:hAnsi="Times New Roman"/>
          <w:color w:val="1f1f1f"/>
          <w:sz w:val="20"/>
        </w:rPr>
        <w:t> </w:t>
      </w:r>
    </w:p>
    <w:bookmarkStart w:id="14" w:name="co_g_ID0E1MAE_1"/>
    <w:p>
      <w:pPr>
        <w:spacing w:before="0" w:after="0" w:line="275" w:lineRule="atLeast"/>
        <w:jc w:val="both"/>
      </w:pPr>
      <w:r>
        <w:rPr>
          <w:rFonts w:ascii="Times New Roman" w:hAnsi="Times New Roman"/>
          <w:color w:val="1f1f1f"/>
          <w:sz w:val="20"/>
        </w:rPr>
        <w:t>Part II of this Article describes the basic principles of the law of judicial estoppel and judicial admissions.</w:t>
      </w:r>
      <w:bookmarkStart w:id="15" w:name="co_fnRef_F6110408358_ID0ECNAE_1"/>
      <w:hyperlink w:anchor="co_footnote_F6110408358_1">
        <w:r>
          <w:rPr>
            <w:rFonts w:ascii="Times New Roman" w:hAnsi="Times New Roman"/>
            <w:color w:val="006fc4"/>
            <w:sz w:val="16"/>
            <w:vertAlign w:val="superscript"/>
          </w:rPr>
          <w:t>6</w:t>
        </w:r>
      </w:hyperlink>
      <w:bookmarkEnd w:id="15"/>
      <w:r>
        <w:rPr>
          <w:rFonts w:ascii="Times New Roman" w:hAnsi="Times New Roman"/>
          <w:color w:val="1f1f1f"/>
          <w:sz w:val="20"/>
        </w:rPr>
        <w:t xml:space="preserve"> Part III then details how the judicial admissions doctrine can help identify prior statements that could justify a judicial estoppel if contradicted. It then develops a test for when judicial estoppel should actually apply to such a statement in a subsequent suit, focusing on the effect of the statement in the subsequent suit if treated as a judicial admission. Part IV concludes.</w:t>
      </w:r>
    </w:p>
    <w:bookmarkEnd w:id="14"/>
    <w:p>
      <w:pPr>
        <w:spacing w:before="0" w:after="0" w:line="275" w:lineRule="atLeast"/>
        <w:jc w:val="both"/>
      </w:pPr>
      <w:r>
        <w:rPr>
          <w:rFonts w:ascii="Times New Roman" w:hAnsi="Times New Roman"/>
          <w:color w:val="1f1f1f"/>
          <w:sz w:val="20"/>
        </w:rPr>
        <w:t> </w:t>
      </w:r>
    </w:p>
    <w:bookmarkStart w:id="16" w:name="co_g_ID0ERNAE_1"/>
    <w:p>
      <w:pPr>
        <w:spacing w:before="200" w:after="0" w:line="240" w:lineRule="auto"/>
      </w:pPr>
      <w:r>
        <w:rPr>
          <w:rFonts w:ascii="Times New Roman" w:hAnsi="Times New Roman"/>
          <w:b/>
          <w:color w:val="1f1f1f"/>
          <w:sz w:val="20"/>
        </w:rPr>
        <w:t>II. The Doctrines of Judicial Estoppel and Judicial Admissions</w:t>
      </w:r>
    </w:p>
    <w:bookmarkEnd w:id="16"/>
    <w:bookmarkStart w:id="17" w:name="co_g_ID0E2NAE_1"/>
    <w:p>
      <w:pPr>
        <w:spacing w:before="400" w:after="0" w:line="240" w:lineRule="auto"/>
      </w:pPr>
      <w:r>
        <w:rPr>
          <w:rFonts w:ascii="Times New Roman" w:hAnsi="Times New Roman"/>
          <w:b/>
          <w:color w:val="1f1f1f"/>
          <w:sz w:val="20"/>
        </w:rPr>
        <w:t>A. Judicial Estoppel</w:t>
      </w:r>
    </w:p>
    <w:bookmarkEnd w:id="17"/>
    <w:bookmarkStart w:id="18" w:name="co_g_ID0EFOAE_1"/>
    <w:p>
      <w:pPr>
        <w:spacing w:before="200" w:after="0" w:line="275" w:lineRule="atLeast"/>
        <w:jc w:val="both"/>
      </w:pPr>
      <w:r>
        <w:rPr>
          <w:rFonts w:ascii="Times New Roman" w:hAnsi="Times New Roman"/>
          <w:color w:val="1f1f1f"/>
          <w:sz w:val="20"/>
        </w:rPr>
        <w:t xml:space="preserve">By regulating a litigant's ability to contradict itself, the doctrine of judicial estoppel seeks to resolve a basic tension of the adversary </w:t>
      </w:r>
      <w:bookmarkStart w:id="19" w:name="co_pp_sp_100385_3_1"/>
      <w:r>
        <w:rPr>
          <w:rFonts w:ascii="Times New Roman" w:hAnsi="Times New Roman"/>
          <w:b/>
          <w:color w:val="000000"/>
          <w:sz w:val="20"/>
        </w:rPr>
        <w:t>*3</w:t>
      </w:r>
      <w:bookmarkEnd w:id="19"/>
      <w:r>
        <w:rPr>
          <w:rFonts w:ascii="Times New Roman" w:hAnsi="Times New Roman"/>
          <w:color w:val="1f1f1f"/>
          <w:sz w:val="20"/>
        </w:rPr>
        <w:t xml:space="preserve"> system.</w:t>
      </w:r>
      <w:bookmarkStart w:id="20" w:name="co_fnRef_F7110408358_ID0ESOAE_1"/>
      <w:hyperlink w:anchor="co_footnote_F7110408358_1">
        <w:r>
          <w:rPr>
            <w:rFonts w:ascii="Times New Roman" w:hAnsi="Times New Roman"/>
            <w:color w:val="006fc4"/>
            <w:sz w:val="16"/>
            <w:vertAlign w:val="superscript"/>
          </w:rPr>
          <w:t>7</w:t>
        </w:r>
      </w:hyperlink>
      <w:bookmarkEnd w:id="20"/>
      <w:r>
        <w:rPr>
          <w:rFonts w:ascii="Times New Roman" w:hAnsi="Times New Roman"/>
          <w:color w:val="1f1f1f"/>
          <w:sz w:val="20"/>
        </w:rPr>
        <w:t xml:space="preserve"> The adversary system tries to foster the natural development of arguments as discovery and case analysis progress. The system also requires boundaries to discourage “cynical gamesmanship” unrelated to the development of the merits of a case.</w:t>
      </w:r>
      <w:bookmarkStart w:id="21" w:name="co_fnRef_F8110408358_ID0E1OAE_1"/>
      <w:hyperlink w:anchor="co_footnote_F8110408358_1">
        <w:r>
          <w:rPr>
            <w:rFonts w:ascii="Times New Roman" w:hAnsi="Times New Roman"/>
            <w:color w:val="006fc4"/>
            <w:sz w:val="16"/>
            <w:vertAlign w:val="superscript"/>
          </w:rPr>
          <w:t>8</w:t>
        </w:r>
      </w:hyperlink>
      <w:bookmarkEnd w:id="21"/>
      <w:r>
        <w:rPr>
          <w:rFonts w:ascii="Times New Roman" w:hAnsi="Times New Roman"/>
          <w:color w:val="1f1f1f"/>
          <w:sz w:val="20"/>
        </w:rPr>
        <w:t xml:space="preserve"> The difficult balancing act required to resolve this tension has led to several different formulations of the judicial estoppel doctrine, as well as its rejection by some jurisdictions.</w:t>
      </w:r>
      <w:bookmarkStart w:id="22" w:name="co_fnRef_F9110408358_ID0E5OAE_1"/>
      <w:hyperlink w:anchor="co_footnote_F9110408358_1">
        <w:r>
          <w:rPr>
            <w:rFonts w:ascii="Times New Roman" w:hAnsi="Times New Roman"/>
            <w:color w:val="006fc4"/>
            <w:sz w:val="16"/>
            <w:vertAlign w:val="superscript"/>
          </w:rPr>
          <w:t>9</w:t>
        </w:r>
      </w:hyperlink>
      <w:bookmarkEnd w:id="22"/>
    </w:p>
    <w:bookmarkEnd w:id="18"/>
    <w:p>
      <w:pPr>
        <w:spacing w:before="0" w:after="0" w:line="275" w:lineRule="atLeast"/>
        <w:jc w:val="both"/>
      </w:pPr>
      <w:r>
        <w:rPr>
          <w:rFonts w:ascii="Times New Roman" w:hAnsi="Times New Roman"/>
          <w:color w:val="1f1f1f"/>
          <w:sz w:val="20"/>
        </w:rPr>
        <w:t> </w:t>
      </w:r>
    </w:p>
    <w:bookmarkStart w:id="23" w:name="co_g_ID0EFPAE_1"/>
    <w:p>
      <w:pPr>
        <w:spacing w:before="0" w:after="0" w:line="275" w:lineRule="atLeast"/>
        <w:jc w:val="both"/>
      </w:pPr>
      <w:r>
        <w:rPr>
          <w:rFonts w:ascii="Times New Roman" w:hAnsi="Times New Roman"/>
          <w:color w:val="1f1f1f"/>
          <w:sz w:val="20"/>
        </w:rPr>
        <w:t>1. Jurisdictions accepting the doctrine.--Jurisdictions that accept the doctrine of judicial estoppel share concerns about judicial integrity and the control of gamesmanship. It is difficult to summarize the treatment of the doctrine further; indeed, even within a jurisdiction courts often remark that “each case must be decided upon its own particular facts and circumstances.”</w:t>
      </w:r>
      <w:bookmarkStart w:id="24" w:name="co_fnRef_F10110408358_ID0EZPAE_1"/>
      <w:hyperlink w:anchor="co_footnote_F10110408358_1">
        <w:r>
          <w:rPr>
            <w:rFonts w:ascii="Times New Roman" w:hAnsi="Times New Roman"/>
            <w:color w:val="006fc4"/>
            <w:sz w:val="16"/>
            <w:vertAlign w:val="superscript"/>
          </w:rPr>
          <w:t>10</w:t>
        </w:r>
      </w:hyperlink>
      <w:bookmarkEnd w:id="24"/>
      <w:r>
        <w:rPr>
          <w:rFonts w:ascii="Times New Roman" w:hAnsi="Times New Roman"/>
          <w:color w:val="1f1f1f"/>
          <w:sz w:val="20"/>
        </w:rPr>
        <w:t xml:space="preserve"> Nevertheless, two major interpretations of the doctrine can be identified,</w:t>
      </w:r>
      <w:bookmarkStart w:id="25" w:name="co_fnRef_F11110408358_ID0E3PAE_1"/>
      <w:hyperlink w:anchor="co_footnote_F11110408358_1">
        <w:r>
          <w:rPr>
            <w:rFonts w:ascii="Times New Roman" w:hAnsi="Times New Roman"/>
            <w:color w:val="006fc4"/>
            <w:sz w:val="16"/>
            <w:vertAlign w:val="superscript"/>
          </w:rPr>
          <w:t>11</w:t>
        </w:r>
      </w:hyperlink>
      <w:bookmarkEnd w:id="25"/>
      <w:r>
        <w:rPr>
          <w:rFonts w:ascii="Times New Roman" w:hAnsi="Times New Roman"/>
          <w:color w:val="1f1f1f"/>
          <w:sz w:val="20"/>
        </w:rPr>
        <w:t xml:space="preserve"> with the first focusing on whether the first forum adopted or relied upon the litigant's representations to it, and the second focusing on the more </w:t>
      </w:r>
      <w:bookmarkStart w:id="26" w:name="co_pp_sp_100385_4_1"/>
      <w:r>
        <w:rPr>
          <w:rFonts w:ascii="Times New Roman" w:hAnsi="Times New Roman"/>
          <w:b/>
          <w:color w:val="000000"/>
          <w:sz w:val="20"/>
        </w:rPr>
        <w:t>*4</w:t>
      </w:r>
      <w:bookmarkEnd w:id="26"/>
      <w:r>
        <w:rPr>
          <w:rFonts w:ascii="Times New Roman" w:hAnsi="Times New Roman"/>
          <w:color w:val="1f1f1f"/>
          <w:sz w:val="20"/>
        </w:rPr>
        <w:t xml:space="preserve"> general question of whether a litigant's inconsistencies amount to “playing fast and loose” with the system.</w:t>
      </w:r>
      <w:bookmarkStart w:id="27" w:name="co_fnRef_F12110408358_ID0EGQAE_1"/>
      <w:hyperlink w:anchor="co_footnote_F12110408358_1">
        <w:r>
          <w:rPr>
            <w:rFonts w:ascii="Times New Roman" w:hAnsi="Times New Roman"/>
            <w:color w:val="006fc4"/>
            <w:sz w:val="16"/>
            <w:vertAlign w:val="superscript"/>
          </w:rPr>
          <w:t>12</w:t>
        </w:r>
      </w:hyperlink>
      <w:bookmarkEnd w:id="27"/>
    </w:p>
    <w:bookmarkEnd w:id="23"/>
    <w:p>
      <w:pPr>
        <w:spacing w:before="200" w:after="0" w:line="275" w:lineRule="atLeast"/>
        <w:ind w:left="480" w:right="480" w:firstLine="0"/>
        <w:jc w:val="both"/>
      </w:pPr>
      <w:r>
        <w:rPr>
          <w:rFonts w:ascii="Times New Roman" w:hAnsi="Times New Roman"/>
          <w:color w:val="1f1f1f"/>
          <w:sz w:val="20"/>
        </w:rPr>
        <w:t>(a) Prior adoption.--The majority view among federal circuit courts</w:t>
      </w:r>
      <w:bookmarkStart w:id="28" w:name="co_fnRef_F13110408358_ID0EQQAE_1"/>
      <w:hyperlink w:anchor="co_footnote_F13110408358_1">
        <w:r>
          <w:rPr>
            <w:rFonts w:ascii="Times New Roman" w:hAnsi="Times New Roman"/>
            <w:color w:val="006fc4"/>
            <w:sz w:val="16"/>
            <w:vertAlign w:val="superscript"/>
          </w:rPr>
          <w:t>13</w:t>
        </w:r>
      </w:hyperlink>
      <w:bookmarkEnd w:id="28"/>
      <w:r>
        <w:rPr>
          <w:rFonts w:ascii="Times New Roman" w:hAnsi="Times New Roman"/>
          <w:color w:val="1f1f1f"/>
          <w:sz w:val="20"/>
        </w:rPr>
        <w:t xml:space="preserve"> is that the doctrine of judicial estoppel does not apply unless an earlier forum adopted the assertion that is contradicted in the subsequent litigation.</w:t>
      </w:r>
      <w:bookmarkStart w:id="29" w:name="co_fnRef_F14110408358_ID0EVQAE_1"/>
      <w:hyperlink w:anchor="co_footnote_F14110408358_1">
        <w:r>
          <w:rPr>
            <w:rFonts w:ascii="Times New Roman" w:hAnsi="Times New Roman"/>
            <w:color w:val="006fc4"/>
            <w:sz w:val="16"/>
            <w:vertAlign w:val="superscript"/>
          </w:rPr>
          <w:t>14</w:t>
        </w:r>
      </w:hyperlink>
      <w:bookmarkEnd w:id="29"/>
      <w:r>
        <w:rPr>
          <w:rFonts w:ascii="Times New Roman" w:hAnsi="Times New Roman"/>
          <w:color w:val="1f1f1f"/>
          <w:sz w:val="20"/>
        </w:rPr>
        <w:t xml:space="preserve"> Within that majority, there are two main views about the application of the doctrine.</w:t>
      </w:r>
    </w:p>
    <w:p>
      <w:pPr>
        <w:spacing w:before="200" w:after="0" w:line="275" w:lineRule="atLeast"/>
        <w:jc w:val="both"/>
      </w:pPr>
      <w:r>
        <w:rPr>
          <w:rFonts w:ascii="Times New Roman" w:hAnsi="Times New Roman"/>
          <w:color w:val="1f1f1f"/>
          <w:sz w:val="20"/>
        </w:rPr>
        <w:t> </w:t>
      </w:r>
    </w:p>
    <w:p>
      <w:pPr>
        <w:spacing w:before="0" w:after="0" w:line="275" w:lineRule="atLeast"/>
        <w:jc w:val="both"/>
      </w:pPr>
      <w:r>
        <w:rPr>
          <w:rFonts w:ascii="Times New Roman" w:hAnsi="Times New Roman"/>
          <w:color w:val="1f1f1f"/>
          <w:sz w:val="20"/>
        </w:rPr>
        <w:t> </w:t>
      </w:r>
    </w:p>
    <w:bookmarkStart w:id="30" w:name="co_g_ID0E5QAE_1"/>
    <w:p>
      <w:pPr>
        <w:spacing w:before="0" w:after="0" w:line="275" w:lineRule="atLeast"/>
        <w:jc w:val="both"/>
      </w:pPr>
      <w:r>
        <w:rPr>
          <w:rFonts w:ascii="Times New Roman" w:hAnsi="Times New Roman"/>
          <w:color w:val="1f1f1f"/>
          <w:sz w:val="20"/>
        </w:rPr>
        <w:t>One view focuses on the harm to the opposing party by having inconsistent positions adopted against it.</w:t>
      </w:r>
      <w:bookmarkStart w:id="31" w:name="co_fnRef_F15110408358_ID0EGRAE_1"/>
      <w:hyperlink w:anchor="co_footnote_F15110408358_1">
        <w:r>
          <w:rPr>
            <w:rFonts w:ascii="Times New Roman" w:hAnsi="Times New Roman"/>
            <w:color w:val="006fc4"/>
            <w:sz w:val="16"/>
            <w:vertAlign w:val="superscript"/>
          </w:rPr>
          <w:t>15</w:t>
        </w:r>
      </w:hyperlink>
      <w:bookmarkEnd w:id="31"/>
      <w:r>
        <w:rPr>
          <w:rFonts w:ascii="Times New Roman" w:hAnsi="Times New Roman"/>
          <w:color w:val="1f1f1f"/>
          <w:sz w:val="20"/>
        </w:rPr>
        <w:t xml:space="preserve"> As Judge Alvin Rubin has observed, judicial estoppel</w:t>
      </w:r>
    </w:p>
    <w:bookmarkEnd w:id="30"/>
    <w:p>
      <w:pPr>
        <w:spacing w:before="400" w:after="0" w:line="275" w:lineRule="atLeast"/>
        <w:ind w:left="480" w:right="480" w:firstLine="0"/>
        <w:jc w:val="both"/>
      </w:pPr>
      <w:r>
        <w:rPr>
          <w:rFonts w:ascii="Times New Roman" w:hAnsi="Times New Roman"/>
          <w:color w:val="1f1f1f"/>
          <w:sz w:val="20"/>
        </w:rPr>
        <w:t>is founded on the same ethical precept as estoppel in pais: a party who has induced someone else to act in a particular manner should not be permitted later to cause loss to the person he has misled by adopting an inconsistent position. Judicial estoppel, like all estoppel, is equitable in nature and is designed to protect those who are misled by a change in position.</w:t>
      </w:r>
      <w:bookmarkStart w:id="32" w:name="co_fnRef_F16110408358_ID0EWRAE_1"/>
      <w:hyperlink w:anchor="co_footnote_F16110408358_1">
        <w:r>
          <w:rPr>
            <w:rFonts w:ascii="Times New Roman" w:hAnsi="Times New Roman"/>
            <w:color w:val="006fc4"/>
            <w:sz w:val="16"/>
            <w:vertAlign w:val="superscript"/>
          </w:rPr>
          <w:t>16</w:t>
        </w:r>
      </w:hyperlink>
      <w:bookmarkEnd w:id="32"/>
      <w:r>
        <w:rPr>
          <w:rFonts w:ascii="Times New Roman" w:hAnsi="Times New Roman"/>
          <w:color w:val="1f1f1f"/>
          <w:sz w:val="20"/>
        </w:rPr>
        <w:t xml:space="preserve"> </w:t>
      </w:r>
      <w:bookmarkStart w:id="33" w:name="co_pp_sp_100385_5_1"/>
      <w:r>
        <w:rPr>
          <w:rFonts w:ascii="Times New Roman" w:hAnsi="Times New Roman"/>
          <w:b/>
          <w:color w:val="000000"/>
          <w:sz w:val="20"/>
        </w:rPr>
        <w:t>*5</w:t>
      </w:r>
      <w:bookmarkEnd w:id="33"/>
      <w:r>
        <w:rPr>
          <w:rFonts w:ascii="Times New Roman" w:hAnsi="Times New Roman"/>
          <w:color w:val="1f1f1f"/>
          <w:sz w:val="20"/>
        </w:rPr>
        <w:t xml:space="preserve"> This observation has a solid foundation in traditional principles of estoppel doctrine.</w:t>
      </w:r>
      <w:bookmarkStart w:id="34" w:name="co_fnRef_F17110408358_ID0EASAE_1"/>
      <w:hyperlink w:anchor="co_footnote_F17110408358_1">
        <w:r>
          <w:rPr>
            <w:rFonts w:ascii="Times New Roman" w:hAnsi="Times New Roman"/>
            <w:color w:val="006fc4"/>
            <w:sz w:val="16"/>
            <w:vertAlign w:val="superscript"/>
          </w:rPr>
          <w:t>17</w:t>
        </w:r>
      </w:hyperlink>
      <w:bookmarkEnd w:id="34"/>
      <w:r>
        <w:rPr>
          <w:rFonts w:ascii="Times New Roman" w:hAnsi="Times New Roman"/>
          <w:color w:val="1f1f1f"/>
          <w:sz w:val="20"/>
        </w:rPr>
        <w:t xml:space="preserve"> It follows from this view that judicial estoppel is triggered when a litigant wins the first time and then tries to win a second time against the same adversary by contradicting itself.</w:t>
      </w:r>
      <w:bookmarkStart w:id="35" w:name="co_fnRef_F18110408358_ID0EFSAE_1"/>
      <w:hyperlink w:anchor="co_footnote_F18110408358_1">
        <w:r>
          <w:rPr>
            <w:rFonts w:ascii="Times New Roman" w:hAnsi="Times New Roman"/>
            <w:color w:val="006fc4"/>
            <w:sz w:val="16"/>
            <w:vertAlign w:val="superscript"/>
          </w:rPr>
          <w:t>18</w:t>
        </w:r>
      </w:hyperlink>
      <w:bookmarkEnd w:id="35"/>
      <w:r>
        <w:rPr>
          <w:rFonts w:ascii="Times New Roman" w:hAnsi="Times New Roman"/>
          <w:color w:val="1f1f1f"/>
          <w:sz w:val="20"/>
        </w:rPr>
        <w:t xml:space="preserve"> Few fact patterns fall within this strict view of the doctrine.</w:t>
      </w:r>
      <w:bookmarkStart w:id="36" w:name="co_fnRef_F19110408358_ID0EJSAE_1"/>
      <w:hyperlink w:anchor="co_footnote_F19110408358_1">
        <w:r>
          <w:rPr>
            <w:rFonts w:ascii="Times New Roman" w:hAnsi="Times New Roman"/>
            <w:color w:val="006fc4"/>
            <w:sz w:val="16"/>
            <w:vertAlign w:val="superscript"/>
          </w:rPr>
          <w:t>19</w:t>
        </w:r>
      </w:hyperlink>
      <w:bookmarkEnd w:id="36"/>
    </w:p>
    <w:p>
      <w:pPr>
        <w:spacing w:before="200" w:after="0" w:line="275" w:lineRule="atLeast"/>
        <w:jc w:val="both"/>
      </w:pPr>
      <w:r>
        <w:rPr>
          <w:rFonts w:ascii="Times New Roman" w:hAnsi="Times New Roman"/>
          <w:color w:val="1f1f1f"/>
          <w:sz w:val="20"/>
        </w:rPr>
        <w:t> </w:t>
      </w:r>
    </w:p>
    <w:p>
      <w:pPr>
        <w:spacing w:before="0" w:after="0" w:line="275" w:lineRule="atLeast"/>
        <w:jc w:val="both"/>
      </w:pPr>
      <w:r>
        <w:rPr>
          <w:rFonts w:ascii="Times New Roman" w:hAnsi="Times New Roman"/>
          <w:color w:val="1f1f1f"/>
          <w:sz w:val="20"/>
        </w:rPr>
        <w:t> </w:t>
      </w:r>
    </w:p>
    <w:bookmarkStart w:id="37" w:name="co_g_ID0EQSAE_1"/>
    <w:p>
      <w:pPr>
        <w:spacing w:before="0" w:after="0" w:line="275" w:lineRule="atLeast"/>
        <w:jc w:val="both"/>
      </w:pPr>
      <w:r>
        <w:rPr>
          <w:rFonts w:ascii="Times New Roman" w:hAnsi="Times New Roman"/>
          <w:color w:val="1f1f1f"/>
          <w:sz w:val="20"/>
        </w:rPr>
        <w:t>Other courts, while recognizing the basic estoppel concept of detrimental reliance, view the inconsistency as harming the court and judicial system rather than the litigant.</w:t>
      </w:r>
      <w:bookmarkStart w:id="38" w:name="co_fnRef_F20110408358_ID0EYSAE_1"/>
      <w:hyperlink w:anchor="co_footnote_F20110408358_1">
        <w:r>
          <w:rPr>
            <w:rFonts w:ascii="Times New Roman" w:hAnsi="Times New Roman"/>
            <w:color w:val="006fc4"/>
            <w:sz w:val="16"/>
            <w:vertAlign w:val="superscript"/>
          </w:rPr>
          <w:t>20</w:t>
        </w:r>
      </w:hyperlink>
      <w:bookmarkEnd w:id="38"/>
      <w:r>
        <w:rPr>
          <w:rFonts w:ascii="Times New Roman" w:hAnsi="Times New Roman"/>
          <w:color w:val="1f1f1f"/>
          <w:sz w:val="20"/>
        </w:rPr>
        <w:t xml:space="preserve"> The Sixth Circuit described this view in Edwards v. Aetna Life Insurance Company:</w:t>
      </w:r>
      <w:bookmarkStart w:id="39" w:name="co_fnRef_F21110408358_ID0E2SAE_1"/>
      <w:hyperlink w:anchor="co_footnote_F21110408358_1">
        <w:r>
          <w:rPr>
            <w:rFonts w:ascii="Times New Roman" w:hAnsi="Times New Roman"/>
            <w:color w:val="006fc4"/>
            <w:sz w:val="16"/>
            <w:vertAlign w:val="superscript"/>
          </w:rPr>
          <w:t>21</w:t>
        </w:r>
      </w:hyperlink>
      <w:bookmarkEnd w:id="39"/>
    </w:p>
    <w:bookmarkEnd w:id="37"/>
    <w:p>
      <w:pPr>
        <w:spacing w:before="400" w:after="0" w:line="275" w:lineRule="atLeast"/>
        <w:ind w:left="480" w:right="480" w:firstLine="0"/>
        <w:jc w:val="both"/>
      </w:pPr>
      <w:r>
        <w:rPr>
          <w:rFonts w:ascii="Times New Roman" w:hAnsi="Times New Roman"/>
          <w:color w:val="1f1f1f"/>
          <w:sz w:val="20"/>
        </w:rPr>
        <w:t>Equitable estoppel protects litigants from less than scrupulous opponents. Judicial estoppel, however, is intended to protect the integrity of the judicial process...Judicial estoppel addresses the incongruity of allowing a party to assert a position in one tribunal and the opposite in another tribunal. If the second tribunal adopted the party's inconsistent position, then at least one court has probably been misled.</w:t>
      </w:r>
      <w:bookmarkStart w:id="40" w:name="co_fnRef_F22110408358_ID0ENTAE_1"/>
      <w:hyperlink w:anchor="co_footnote_F22110408358_1">
        <w:r>
          <w:rPr>
            <w:rFonts w:ascii="Times New Roman" w:hAnsi="Times New Roman"/>
            <w:color w:val="006fc4"/>
            <w:sz w:val="16"/>
            <w:vertAlign w:val="superscript"/>
          </w:rPr>
          <w:t>22</w:t>
        </w:r>
      </w:hyperlink>
      <w:bookmarkEnd w:id="40"/>
      <w:r>
        <w:rPr>
          <w:rFonts w:ascii="Times New Roman" w:hAnsi="Times New Roman"/>
          <w:color w:val="1f1f1f"/>
          <w:sz w:val="20"/>
        </w:rPr>
        <w:t xml:space="preserve"> Some commentators have even argued that limiting the doctrine to litigation between the same parties renders the two doctrines redundant. </w:t>
      </w:r>
      <w:bookmarkStart w:id="41" w:name="co_pp_sp_100385_6_1"/>
      <w:r>
        <w:rPr>
          <w:rFonts w:ascii="Times New Roman" w:hAnsi="Times New Roman"/>
          <w:b/>
          <w:color w:val="000000"/>
          <w:sz w:val="20"/>
        </w:rPr>
        <w:t>*6</w:t>
      </w:r>
      <w:bookmarkEnd w:id="41"/>
      <w:r>
        <w:rPr>
          <w:rFonts w:ascii="Times New Roman" w:hAnsi="Times New Roman"/>
          <w:color w:val="1f1f1f"/>
          <w:sz w:val="20"/>
        </w:rPr>
        <w:t xml:space="preserve"> </w:t>
      </w:r>
      <w:bookmarkStart w:id="42" w:name="co_fnRef_F23110408358_ID0EVTAE_1"/>
      <w:hyperlink w:anchor="co_footnote_F23110408358_1">
        <w:r>
          <w:rPr>
            <w:rFonts w:ascii="Times New Roman" w:hAnsi="Times New Roman"/>
            <w:color w:val="006fc4"/>
            <w:sz w:val="16"/>
            <w:vertAlign w:val="superscript"/>
          </w:rPr>
          <w:t>23</w:t>
        </w:r>
      </w:hyperlink>
      <w:bookmarkEnd w:id="42"/>
      <w:r>
        <w:rPr>
          <w:rFonts w:ascii="Times New Roman" w:hAnsi="Times New Roman"/>
          <w:color w:val="1f1f1f"/>
          <w:sz w:val="20"/>
        </w:rPr>
        <w:t xml:space="preserve"> More courts apply this broader view than the narrow one previously described.</w:t>
      </w:r>
      <w:bookmarkStart w:id="43" w:name="co_fnRef_F24110408358_ID0E1TAE_1"/>
      <w:hyperlink w:anchor="co_footnote_F24110408358_1">
        <w:r>
          <w:rPr>
            <w:rFonts w:ascii="Times New Roman" w:hAnsi="Times New Roman"/>
            <w:color w:val="006fc4"/>
            <w:sz w:val="16"/>
            <w:vertAlign w:val="superscript"/>
          </w:rPr>
          <w:t>24</w:t>
        </w:r>
      </w:hyperlink>
      <w:bookmarkEnd w:id="43"/>
    </w:p>
    <w:p>
      <w:pPr>
        <w:spacing w:before="200" w:after="0" w:line="275" w:lineRule="atLeast"/>
        <w:jc w:val="both"/>
      </w:pPr>
      <w:r>
        <w:rPr>
          <w:rFonts w:ascii="Times New Roman" w:hAnsi="Times New Roman"/>
          <w:color w:val="1f1f1f"/>
          <w:sz w:val="20"/>
        </w:rPr>
        <w:t> </w:t>
      </w:r>
    </w:p>
    <w:p>
      <w:pPr>
        <w:spacing w:before="400" w:after="0" w:line="275" w:lineRule="atLeast"/>
        <w:ind w:left="480" w:right="480" w:firstLine="0"/>
        <w:jc w:val="both"/>
      </w:pPr>
      <w:r>
        <w:rPr>
          <w:rFonts w:ascii="Times New Roman" w:hAnsi="Times New Roman"/>
          <w:color w:val="1f1f1f"/>
          <w:sz w:val="20"/>
        </w:rPr>
        <w:t>(b) Playing “fast and loose” with the system.--Another line of cases, tracing from the first American judicial estoppel opinion from the Tennessee courts</w:t>
      </w:r>
      <w:bookmarkStart w:id="44" w:name="co_fnRef_F25110408358_ID0EEUAE_1"/>
      <w:hyperlink w:anchor="co_footnote_F25110408358_1">
        <w:r>
          <w:rPr>
            <w:rFonts w:ascii="Times New Roman" w:hAnsi="Times New Roman"/>
            <w:color w:val="006fc4"/>
            <w:sz w:val="16"/>
            <w:vertAlign w:val="superscript"/>
          </w:rPr>
          <w:t>25</w:t>
        </w:r>
      </w:hyperlink>
      <w:bookmarkEnd w:id="44"/>
      <w:r>
        <w:rPr>
          <w:rFonts w:ascii="Times New Roman" w:hAnsi="Times New Roman"/>
          <w:color w:val="1f1f1f"/>
          <w:sz w:val="20"/>
        </w:rPr>
        <w:t xml:space="preserve"> focuses on the prevention of litigation gamesmanship, or in an often-cited formulation of the doctrine, preventing litigants from “playing fast and loose with the courts.”</w:t>
      </w:r>
      <w:bookmarkStart w:id="45" w:name="co_fnRef_F26110408358_ID0ESUAE_1"/>
      <w:hyperlink w:anchor="co_footnote_F26110408358_1">
        <w:r>
          <w:rPr>
            <w:rFonts w:ascii="Times New Roman" w:hAnsi="Times New Roman"/>
            <w:color w:val="006fc4"/>
            <w:sz w:val="16"/>
            <w:vertAlign w:val="superscript"/>
          </w:rPr>
          <w:t>26</w:t>
        </w:r>
      </w:hyperlink>
      <w:bookmarkEnd w:id="45"/>
      <w:r>
        <w:rPr>
          <w:rFonts w:ascii="Times New Roman" w:hAnsi="Times New Roman"/>
          <w:color w:val="1f1f1f"/>
          <w:sz w:val="20"/>
        </w:rPr>
        <w:t xml:space="preserve"> As one district court summarized, “[a] party's cavalier switch of position from one case to the next or from one proceeding to the next is inimical to the integrity of the judicial system, regardless of whether the court affirmatively relies on the representation.”</w:t>
      </w:r>
      <w:bookmarkStart w:id="46" w:name="co_fnRef_F27110408358_ID0EAVAE_1"/>
      <w:hyperlink w:anchor="co_footnote_F27110408358_1">
        <w:r>
          <w:rPr>
            <w:rFonts w:ascii="Times New Roman" w:hAnsi="Times New Roman"/>
            <w:color w:val="006fc4"/>
            <w:sz w:val="16"/>
            <w:vertAlign w:val="superscript"/>
          </w:rPr>
          <w:t>27</w:t>
        </w:r>
      </w:hyperlink>
      <w:bookmarkEnd w:id="46"/>
      <w:r>
        <w:rPr>
          <w:rFonts w:ascii="Times New Roman" w:hAnsi="Times New Roman"/>
          <w:color w:val="1f1f1f"/>
          <w:sz w:val="20"/>
        </w:rPr>
        <w:t xml:space="preserve"> This version of the doctrine is animated both by concerns about unfair advantage and public perception.</w:t>
      </w:r>
      <w:bookmarkStart w:id="47" w:name="co_fnRef_F28110408358_ID0EFVAE_1"/>
      <w:hyperlink w:anchor="co_footnote_F28110408358_1">
        <w:r>
          <w:rPr>
            <w:rFonts w:ascii="Times New Roman" w:hAnsi="Times New Roman"/>
            <w:color w:val="006fc4"/>
            <w:sz w:val="16"/>
            <w:vertAlign w:val="superscript"/>
          </w:rPr>
          <w:t>28</w:t>
        </w:r>
      </w:hyperlink>
      <w:bookmarkEnd w:id="47"/>
      <w:r>
        <w:rPr>
          <w:rFonts w:ascii="Times New Roman" w:hAnsi="Times New Roman"/>
          <w:color w:val="1f1f1f"/>
          <w:sz w:val="20"/>
        </w:rPr>
        <w:t xml:space="preserve"> It could be applied when the position is inconsistent with a prior admission,</w:t>
      </w:r>
      <w:bookmarkStart w:id="48" w:name="co_fnRef_F29110408358_ID0EIVAE_1"/>
      <w:hyperlink w:anchor="co_footnote_F29110408358_1">
        <w:r>
          <w:rPr>
            <w:rFonts w:ascii="Times New Roman" w:hAnsi="Times New Roman"/>
            <w:color w:val="006fc4"/>
            <w:sz w:val="16"/>
            <w:vertAlign w:val="superscript"/>
          </w:rPr>
          <w:t>29</w:t>
        </w:r>
      </w:hyperlink>
      <w:bookmarkEnd w:id="48"/>
      <w:r>
        <w:rPr>
          <w:rFonts w:ascii="Times New Roman" w:hAnsi="Times New Roman"/>
          <w:color w:val="1f1f1f"/>
          <w:sz w:val="20"/>
        </w:rPr>
        <w:t xml:space="preserve"> even when a litigant advancing an inconsistent position lost the first case.</w:t>
      </w:r>
      <w:bookmarkStart w:id="49" w:name="co_fnRef_F30110408358_ID0EMVAE_1"/>
      <w:hyperlink w:anchor="co_footnote_F30110408358_1">
        <w:r>
          <w:rPr>
            <w:rFonts w:ascii="Times New Roman" w:hAnsi="Times New Roman"/>
            <w:color w:val="006fc4"/>
            <w:sz w:val="16"/>
            <w:vertAlign w:val="superscript"/>
          </w:rPr>
          <w:t>30</w:t>
        </w:r>
      </w:hyperlink>
      <w:bookmarkEnd w:id="49"/>
    </w:p>
    <w:p>
      <w:pPr>
        <w:spacing w:before="200" w:after="0" w:line="275" w:lineRule="atLeast"/>
        <w:jc w:val="both"/>
      </w:pPr>
      <w:r>
        <w:rPr>
          <w:rFonts w:ascii="Times New Roman" w:hAnsi="Times New Roman"/>
          <w:color w:val="1f1f1f"/>
          <w:sz w:val="20"/>
        </w:rPr>
        <w:t> </w:t>
      </w:r>
    </w:p>
    <w:p>
      <w:pPr>
        <w:spacing w:before="0" w:after="0" w:line="275" w:lineRule="atLeast"/>
        <w:jc w:val="both"/>
      </w:pPr>
      <w:r>
        <w:rPr>
          <w:rFonts w:ascii="Times New Roman" w:hAnsi="Times New Roman"/>
          <w:color w:val="1f1f1f"/>
          <w:sz w:val="20"/>
        </w:rPr>
        <w:t> </w:t>
      </w:r>
    </w:p>
    <w:bookmarkStart w:id="50" w:name="co_g_ID0ETVAE_1"/>
    <w:p>
      <w:pPr>
        <w:spacing w:before="0" w:after="0" w:line="275" w:lineRule="atLeast"/>
        <w:jc w:val="both"/>
      </w:pPr>
      <w:r>
        <w:rPr>
          <w:rFonts w:ascii="Times New Roman" w:hAnsi="Times New Roman"/>
          <w:color w:val="1f1f1f"/>
          <w:sz w:val="20"/>
        </w:rPr>
        <w:t>This broader version of the doctrine can blur into the doctrines of collateral estoppel and res judicata.</w:t>
      </w:r>
      <w:bookmarkStart w:id="51" w:name="co_fnRef_F31110408358_ID0E2VAE_1"/>
      <w:hyperlink w:anchor="co_footnote_F31110408358_1">
        <w:r>
          <w:rPr>
            <w:rFonts w:ascii="Times New Roman" w:hAnsi="Times New Roman"/>
            <w:color w:val="006fc4"/>
            <w:sz w:val="16"/>
            <w:vertAlign w:val="superscript"/>
          </w:rPr>
          <w:t>31</w:t>
        </w:r>
      </w:hyperlink>
      <w:bookmarkEnd w:id="51"/>
      <w:r>
        <w:rPr>
          <w:rFonts w:ascii="Times New Roman" w:hAnsi="Times New Roman"/>
          <w:color w:val="1f1f1f"/>
          <w:sz w:val="20"/>
        </w:rPr>
        <w:t xml:space="preserve"> At first glance, the collateral estoppel doctrine does, in the words of one commentator, “seem to </w:t>
      </w:r>
      <w:bookmarkStart w:id="52" w:name="co_pp_sp_100385_7_1"/>
      <w:r>
        <w:rPr>
          <w:rFonts w:ascii="Times New Roman" w:hAnsi="Times New Roman"/>
          <w:b/>
          <w:color w:val="000000"/>
          <w:sz w:val="20"/>
        </w:rPr>
        <w:t>*7</w:t>
      </w:r>
      <w:bookmarkEnd w:id="52"/>
      <w:r>
        <w:rPr>
          <w:rFonts w:ascii="Times New Roman" w:hAnsi="Times New Roman"/>
          <w:color w:val="1f1f1f"/>
          <w:sz w:val="20"/>
        </w:rPr>
        <w:t xml:space="preserve"> engulf” the judicial estoppel doctrine.</w:t>
      </w:r>
      <w:bookmarkStart w:id="53" w:name="co_fnRef_F32110408358_ID0EFWAE_1"/>
      <w:hyperlink w:anchor="co_footnote_F32110408358_1">
        <w:r>
          <w:rPr>
            <w:rFonts w:ascii="Times New Roman" w:hAnsi="Times New Roman"/>
            <w:color w:val="006fc4"/>
            <w:sz w:val="16"/>
            <w:vertAlign w:val="superscript"/>
          </w:rPr>
          <w:t>32</w:t>
        </w:r>
      </w:hyperlink>
      <w:bookmarkEnd w:id="53"/>
      <w:r>
        <w:rPr>
          <w:rFonts w:ascii="Times New Roman" w:hAnsi="Times New Roman"/>
          <w:color w:val="1f1f1f"/>
          <w:sz w:val="20"/>
        </w:rPr>
        <w:t xml:space="preserve"> Judicial estoppel, however, does not necessarily require mutuality and prior litigation,</w:t>
      </w:r>
      <w:bookmarkStart w:id="54" w:name="co_fnRef_F33110408358_ID0EIWAE_1"/>
      <w:hyperlink w:anchor="co_footnote_F33110408358_1">
        <w:r>
          <w:rPr>
            <w:rFonts w:ascii="Times New Roman" w:hAnsi="Times New Roman"/>
            <w:color w:val="006fc4"/>
            <w:sz w:val="16"/>
            <w:vertAlign w:val="superscript"/>
          </w:rPr>
          <w:t>33</w:t>
        </w:r>
      </w:hyperlink>
      <w:bookmarkEnd w:id="54"/>
      <w:r>
        <w:rPr>
          <w:rFonts w:ascii="Times New Roman" w:hAnsi="Times New Roman"/>
          <w:color w:val="1f1f1f"/>
          <w:sz w:val="20"/>
        </w:rPr>
        <w:t xml:space="preserve"> a difference that is particularly important when a federal court sitting in diversity applies state estoppel law.</w:t>
      </w:r>
      <w:bookmarkStart w:id="55" w:name="co_fnRef_F34110408358_ID0ENWAE_1"/>
      <w:hyperlink w:anchor="co_footnote_F34110408358_1">
        <w:r>
          <w:rPr>
            <w:rFonts w:ascii="Times New Roman" w:hAnsi="Times New Roman"/>
            <w:color w:val="006fc4"/>
            <w:sz w:val="16"/>
            <w:vertAlign w:val="superscript"/>
          </w:rPr>
          <w:t>34</w:t>
        </w:r>
      </w:hyperlink>
      <w:bookmarkEnd w:id="55"/>
      <w:r>
        <w:rPr>
          <w:rFonts w:ascii="Times New Roman" w:hAnsi="Times New Roman"/>
          <w:color w:val="1f1f1f"/>
          <w:sz w:val="20"/>
        </w:rPr>
        <w:t xml:space="preserve"> More importantly, judicial estoppel simply has a different policy focus, looking mainly to judicial integrity, rather than the efficiency concerns that animate issue and claim preclusion.</w:t>
      </w:r>
      <w:bookmarkStart w:id="56" w:name="co_fnRef_F35110408358_ID0ESWAE_1"/>
      <w:hyperlink w:anchor="co_footnote_F35110408358_1">
        <w:r>
          <w:rPr>
            <w:rFonts w:ascii="Times New Roman" w:hAnsi="Times New Roman"/>
            <w:color w:val="006fc4"/>
            <w:sz w:val="16"/>
            <w:vertAlign w:val="superscript"/>
          </w:rPr>
          <w:t>35</w:t>
        </w:r>
      </w:hyperlink>
      <w:bookmarkEnd w:id="56"/>
    </w:p>
    <w:bookmarkEnd w:id="50"/>
    <w:p>
      <w:pPr>
        <w:spacing w:before="400" w:after="0" w:line="275" w:lineRule="atLeast"/>
        <w:ind w:left="480" w:right="480" w:firstLine="0"/>
        <w:jc w:val="both"/>
      </w:pPr>
      <w:r>
        <w:rPr>
          <w:rFonts w:ascii="Times New Roman" w:hAnsi="Times New Roman"/>
          <w:color w:val="1f1f1f"/>
          <w:sz w:val="20"/>
        </w:rPr>
        <w:t>(c) Character of the statement.--Several jurisdictions require that the statement in the first case have been made under oath. The rationale for this requirement is that “[p]reserving the sanctity of the oath prevents the perpetuation of untruths which damage public confidence in the integrity of the judicial system.”</w:t>
      </w:r>
      <w:bookmarkStart w:id="57" w:name="co_fnRef_F36110408358_ID0EKXAE_1"/>
      <w:hyperlink w:anchor="co_footnote_F36110408358_1">
        <w:r>
          <w:rPr>
            <w:rFonts w:ascii="Times New Roman" w:hAnsi="Times New Roman"/>
            <w:color w:val="006fc4"/>
            <w:sz w:val="16"/>
            <w:vertAlign w:val="superscript"/>
          </w:rPr>
          <w:t>36</w:t>
        </w:r>
      </w:hyperlink>
      <w:bookmarkEnd w:id="57"/>
      <w:r>
        <w:rPr>
          <w:rFonts w:ascii="Times New Roman" w:hAnsi="Times New Roman"/>
          <w:color w:val="1f1f1f"/>
          <w:sz w:val="20"/>
        </w:rPr>
        <w:t xml:space="preserve"> The old Tennessee cases widely credited with originating this doctrine were based on this rationale.</w:t>
      </w:r>
      <w:bookmarkStart w:id="58" w:name="co_fnRef_F37110408358_ID0EPXAE_1"/>
      <w:hyperlink w:anchor="co_footnote_F37110408358_1">
        <w:r>
          <w:rPr>
            <w:rFonts w:ascii="Times New Roman" w:hAnsi="Times New Roman"/>
            <w:color w:val="006fc4"/>
            <w:sz w:val="16"/>
            <w:vertAlign w:val="superscript"/>
          </w:rPr>
          <w:t>37</w:t>
        </w:r>
      </w:hyperlink>
      <w:bookmarkEnd w:id="58"/>
      <w:r>
        <w:rPr>
          <w:rFonts w:ascii="Times New Roman" w:hAnsi="Times New Roman"/>
          <w:color w:val="1f1f1f"/>
          <w:sz w:val="20"/>
        </w:rPr>
        <w:t xml:space="preserve"> This rationale, however, is seen as unduly limiting by some other courts.</w:t>
      </w:r>
      <w:bookmarkStart w:id="59" w:name="co_fnRef_F38110408358_ID0EUXAE_1"/>
      <w:hyperlink w:anchor="co_footnote_F38110408358_1">
        <w:r>
          <w:rPr>
            <w:rFonts w:ascii="Times New Roman" w:hAnsi="Times New Roman"/>
            <w:color w:val="006fc4"/>
            <w:sz w:val="16"/>
            <w:vertAlign w:val="superscript"/>
          </w:rPr>
          <w:t>38</w:t>
        </w:r>
      </w:hyperlink>
      <w:bookmarkEnd w:id="59"/>
      <w:r>
        <w:rPr>
          <w:rFonts w:ascii="Times New Roman" w:hAnsi="Times New Roman"/>
          <w:color w:val="1f1f1f"/>
          <w:sz w:val="20"/>
        </w:rPr>
        <w:t xml:space="preserve"> Those courts have adopted a more lenient doctrine</w:t>
      </w:r>
      <w:bookmarkStart w:id="60" w:name="co_fnRef_F39110408358_ID0EXXAE_1"/>
      <w:hyperlink w:anchor="co_footnote_F39110408358_1">
        <w:r>
          <w:rPr>
            <w:rFonts w:ascii="Times New Roman" w:hAnsi="Times New Roman"/>
            <w:color w:val="006fc4"/>
            <w:sz w:val="16"/>
            <w:vertAlign w:val="superscript"/>
          </w:rPr>
          <w:t>39</w:t>
        </w:r>
      </w:hyperlink>
      <w:bookmarkEnd w:id="60"/>
      <w:r>
        <w:rPr>
          <w:rFonts w:ascii="Times New Roman" w:hAnsi="Times New Roman"/>
          <w:color w:val="1f1f1f"/>
          <w:sz w:val="20"/>
        </w:rPr>
        <w:t xml:space="preserve"> that focuses on broader categories of statements and </w:t>
      </w:r>
      <w:bookmarkStart w:id="61" w:name="co_pp_sp_100385_8_1"/>
      <w:r>
        <w:rPr>
          <w:rFonts w:ascii="Times New Roman" w:hAnsi="Times New Roman"/>
          <w:b/>
          <w:color w:val="000000"/>
          <w:sz w:val="20"/>
        </w:rPr>
        <w:t>*8</w:t>
      </w:r>
      <w:bookmarkEnd w:id="61"/>
      <w:r>
        <w:rPr>
          <w:rFonts w:ascii="Times New Roman" w:hAnsi="Times New Roman"/>
          <w:color w:val="1f1f1f"/>
          <w:sz w:val="20"/>
        </w:rPr>
        <w:t xml:space="preserve"> strategic positions taken by litigants</w:t>
      </w:r>
      <w:bookmarkStart w:id="62" w:name="co_fnRef_F40110408358_ID0E6XAE_1"/>
      <w:hyperlink w:anchor="co_footnote_F40110408358_1">
        <w:r>
          <w:rPr>
            <w:rFonts w:ascii="Times New Roman" w:hAnsi="Times New Roman"/>
            <w:color w:val="006fc4"/>
            <w:sz w:val="16"/>
            <w:vertAlign w:val="superscript"/>
          </w:rPr>
          <w:t>40</w:t>
        </w:r>
      </w:hyperlink>
      <w:bookmarkEnd w:id="62"/>
      <w:r>
        <w:rPr>
          <w:rFonts w:ascii="Times New Roman" w:hAnsi="Times New Roman"/>
          <w:color w:val="1f1f1f"/>
          <w:sz w:val="20"/>
        </w:rPr>
        <w:t xml:space="preserve"> that were “significant” to the previous action.</w:t>
      </w:r>
      <w:bookmarkStart w:id="63" w:name="co_fnRef_F41110408358_ID0EDYAE_1"/>
      <w:hyperlink w:anchor="co_footnote_F41110408358_1">
        <w:r>
          <w:rPr>
            <w:rFonts w:ascii="Times New Roman" w:hAnsi="Times New Roman"/>
            <w:color w:val="006fc4"/>
            <w:sz w:val="16"/>
            <w:vertAlign w:val="superscript"/>
          </w:rPr>
          <w:t>41</w:t>
        </w:r>
      </w:hyperlink>
      <w:bookmarkEnd w:id="63"/>
    </w:p>
    <w:p>
      <w:pPr>
        <w:spacing w:before="200" w:after="0" w:line="275" w:lineRule="atLeast"/>
        <w:jc w:val="both"/>
      </w:pPr>
      <w:r>
        <w:rPr>
          <w:rFonts w:ascii="Times New Roman" w:hAnsi="Times New Roman"/>
          <w:color w:val="1f1f1f"/>
          <w:sz w:val="20"/>
        </w:rPr>
        <w:t> </w:t>
      </w:r>
    </w:p>
    <w:p>
      <w:pPr>
        <w:spacing w:before="0" w:after="0" w:line="275" w:lineRule="atLeast"/>
        <w:jc w:val="both"/>
      </w:pPr>
      <w:r>
        <w:rPr>
          <w:rFonts w:ascii="Times New Roman" w:hAnsi="Times New Roman"/>
          <w:color w:val="1f1f1f"/>
          <w:sz w:val="20"/>
        </w:rPr>
        <w:t> </w:t>
      </w:r>
    </w:p>
    <w:bookmarkStart w:id="64" w:name="co_g_ID0EKYAE_1"/>
    <w:p>
      <w:pPr>
        <w:spacing w:before="0" w:after="0" w:line="275" w:lineRule="atLeast"/>
        <w:jc w:val="both"/>
      </w:pPr>
      <w:r>
        <w:rPr>
          <w:rFonts w:ascii="Times New Roman" w:hAnsi="Times New Roman"/>
          <w:color w:val="1f1f1f"/>
          <w:sz w:val="20"/>
        </w:rPr>
        <w:t>Once statements have been identified, it must then be decided if they are in fact inconsistent. This inquiry has a metaphysical quality to it. The requisite level of inconsistency has been described as more than a “threshold,”</w:t>
      </w:r>
      <w:bookmarkStart w:id="65" w:name="co_fnRef_F42110408358_ID0EWYAE_1"/>
      <w:hyperlink w:anchor="co_footnote_F42110408358_1">
        <w:r>
          <w:rPr>
            <w:rFonts w:ascii="Times New Roman" w:hAnsi="Times New Roman"/>
            <w:color w:val="006fc4"/>
            <w:sz w:val="16"/>
            <w:vertAlign w:val="superscript"/>
          </w:rPr>
          <w:t>42</w:t>
        </w:r>
      </w:hyperlink>
      <w:bookmarkEnd w:id="65"/>
      <w:r>
        <w:rPr>
          <w:rFonts w:ascii="Times New Roman" w:hAnsi="Times New Roman"/>
          <w:color w:val="1f1f1f"/>
          <w:sz w:val="20"/>
        </w:rPr>
        <w:t xml:space="preserve"> not “superficial,”</w:t>
      </w:r>
      <w:bookmarkStart w:id="66" w:name="co_fnRef_F43110408358_ID0EZYAE_1"/>
      <w:hyperlink w:anchor="co_footnote_F43110408358_1">
        <w:r>
          <w:rPr>
            <w:rFonts w:ascii="Times New Roman" w:hAnsi="Times New Roman"/>
            <w:color w:val="006fc4"/>
            <w:sz w:val="16"/>
            <w:vertAlign w:val="superscript"/>
          </w:rPr>
          <w:t>43</w:t>
        </w:r>
      </w:hyperlink>
      <w:bookmarkEnd w:id="66"/>
      <w:r>
        <w:rPr>
          <w:rFonts w:ascii="Times New Roman" w:hAnsi="Times New Roman"/>
          <w:color w:val="1f1f1f"/>
          <w:sz w:val="20"/>
        </w:rPr>
        <w:t xml:space="preserve"> “truly inconsistent,”</w:t>
      </w:r>
      <w:bookmarkStart w:id="67" w:name="co_fnRef_F44110408358_ID0E3YAE_1"/>
      <w:hyperlink w:anchor="co_footnote_F44110408358_1">
        <w:r>
          <w:rPr>
            <w:rFonts w:ascii="Times New Roman" w:hAnsi="Times New Roman"/>
            <w:color w:val="006fc4"/>
            <w:sz w:val="16"/>
            <w:vertAlign w:val="superscript"/>
          </w:rPr>
          <w:t>44</w:t>
        </w:r>
      </w:hyperlink>
      <w:bookmarkEnd w:id="67"/>
      <w:r>
        <w:rPr>
          <w:rFonts w:ascii="Times New Roman" w:hAnsi="Times New Roman"/>
          <w:color w:val="1f1f1f"/>
          <w:sz w:val="20"/>
        </w:rPr>
        <w:t xml:space="preserve"> and “direct[ ]” as opposed to “possible, indirect, or implied.”</w:t>
      </w:r>
      <w:bookmarkStart w:id="68" w:name="co_fnRef_F45110408358_ID0EBZAE_1"/>
      <w:hyperlink w:anchor="co_footnote_F45110408358_1">
        <w:r>
          <w:rPr>
            <w:rFonts w:ascii="Times New Roman" w:hAnsi="Times New Roman"/>
            <w:color w:val="006fc4"/>
            <w:sz w:val="16"/>
            <w:vertAlign w:val="superscript"/>
          </w:rPr>
          <w:t>45</w:t>
        </w:r>
      </w:hyperlink>
      <w:bookmarkEnd w:id="68"/>
      <w:r>
        <w:rPr>
          <w:rFonts w:ascii="Times New Roman" w:hAnsi="Times New Roman"/>
          <w:color w:val="1f1f1f"/>
          <w:sz w:val="20"/>
        </w:rPr>
        <w:t xml:space="preserve"> Statements cannot be “incompatible;”</w:t>
      </w:r>
      <w:bookmarkStart w:id="69" w:name="co_fnRef_F46110408358_ID0EEZAE_1"/>
      <w:hyperlink w:anchor="co_footnote_F46110408358_1">
        <w:r>
          <w:rPr>
            <w:rFonts w:ascii="Times New Roman" w:hAnsi="Times New Roman"/>
            <w:color w:val="006fc4"/>
            <w:sz w:val="16"/>
            <w:vertAlign w:val="superscript"/>
          </w:rPr>
          <w:t>46</w:t>
        </w:r>
      </w:hyperlink>
      <w:bookmarkEnd w:id="69"/>
      <w:r>
        <w:rPr>
          <w:rFonts w:ascii="Times New Roman" w:hAnsi="Times New Roman"/>
          <w:color w:val="1f1f1f"/>
          <w:sz w:val="20"/>
        </w:rPr>
        <w:t xml:space="preserve"> however, if even some inconsistency exists between two statements, it may be permissible “to skin the cat two ways”</w:t>
      </w:r>
      <w:bookmarkStart w:id="70" w:name="co_fnRef_F47110408358_ID0EQZAE_1"/>
      <w:hyperlink w:anchor="co_footnote_F47110408358_1">
        <w:r>
          <w:rPr>
            <w:rFonts w:ascii="Times New Roman" w:hAnsi="Times New Roman"/>
            <w:color w:val="006fc4"/>
            <w:sz w:val="16"/>
            <w:vertAlign w:val="superscript"/>
          </w:rPr>
          <w:t>47</w:t>
        </w:r>
      </w:hyperlink>
      <w:bookmarkEnd w:id="70"/>
      <w:r>
        <w:rPr>
          <w:rFonts w:ascii="Times New Roman" w:hAnsi="Times New Roman"/>
          <w:color w:val="1f1f1f"/>
          <w:sz w:val="20"/>
        </w:rPr>
        <w:t xml:space="preserve"> so as to not trigger judicial estoppel. The statements must be “truly inconsistent” and “mutually exclusive,”</w:t>
      </w:r>
      <w:bookmarkStart w:id="71" w:name="co_fnRef_F48110408358_ID0EWZAE_1"/>
      <w:hyperlink w:anchor="co_footnote_F48110408358_1">
        <w:r>
          <w:rPr>
            <w:rFonts w:ascii="Times New Roman" w:hAnsi="Times New Roman"/>
            <w:color w:val="006fc4"/>
            <w:sz w:val="16"/>
            <w:vertAlign w:val="superscript"/>
          </w:rPr>
          <w:t>48</w:t>
        </w:r>
      </w:hyperlink>
      <w:bookmarkEnd w:id="71"/>
      <w:r>
        <w:rPr>
          <w:rFonts w:ascii="Times New Roman" w:hAnsi="Times New Roman"/>
          <w:color w:val="1f1f1f"/>
          <w:sz w:val="20"/>
        </w:rPr>
        <w:t xml:space="preserve"> so judicial estoppel does not apply if the statements “can be </w:t>
      </w:r>
      <w:bookmarkStart w:id="72" w:name="co_pp_sp_100385_9_1"/>
      <w:r>
        <w:rPr>
          <w:rFonts w:ascii="Times New Roman" w:hAnsi="Times New Roman"/>
          <w:b/>
          <w:color w:val="000000"/>
          <w:sz w:val="20"/>
        </w:rPr>
        <w:t>*9</w:t>
      </w:r>
      <w:bookmarkEnd w:id="72"/>
      <w:r>
        <w:rPr>
          <w:rFonts w:ascii="Times New Roman" w:hAnsi="Times New Roman"/>
          <w:color w:val="1f1f1f"/>
          <w:sz w:val="20"/>
        </w:rPr>
        <w:t xml:space="preserve"> reconciled.”</w:t>
      </w:r>
      <w:bookmarkStart w:id="73" w:name="co_fnRef_F49110408358_ID0EA1AE_1"/>
      <w:hyperlink w:anchor="co_footnote_F49110408358_1">
        <w:r>
          <w:rPr>
            <w:rFonts w:ascii="Times New Roman" w:hAnsi="Times New Roman"/>
            <w:color w:val="006fc4"/>
            <w:sz w:val="16"/>
            <w:vertAlign w:val="superscript"/>
          </w:rPr>
          <w:t>49</w:t>
        </w:r>
      </w:hyperlink>
      <w:bookmarkEnd w:id="73"/>
      <w:r>
        <w:rPr>
          <w:rFonts w:ascii="Times New Roman" w:hAnsi="Times New Roman"/>
          <w:color w:val="1f1f1f"/>
          <w:sz w:val="20"/>
        </w:rPr>
        <w:t xml:space="preserve"> Not surprisingly, this exercise can be difficult,</w:t>
      </w:r>
      <w:bookmarkStart w:id="74" w:name="co_fnRef_F50110408358_ID0ED1AE_1"/>
      <w:hyperlink w:anchor="co_footnote_F50110408358_1">
        <w:r>
          <w:rPr>
            <w:rFonts w:ascii="Times New Roman" w:hAnsi="Times New Roman"/>
            <w:color w:val="006fc4"/>
            <w:sz w:val="16"/>
            <w:vertAlign w:val="superscript"/>
          </w:rPr>
          <w:t>50</w:t>
        </w:r>
      </w:hyperlink>
      <w:bookmarkEnd w:id="74"/>
      <w:r>
        <w:rPr>
          <w:rFonts w:ascii="Times New Roman" w:hAnsi="Times New Roman"/>
          <w:color w:val="1f1f1f"/>
          <w:sz w:val="20"/>
        </w:rPr>
        <w:t xml:space="preserve"> and it has been criticized as “ad hoc,”</w:t>
      </w:r>
      <w:bookmarkStart w:id="75" w:name="co_fnRef_F51110408358_ID0EG1AE_1"/>
      <w:hyperlink w:anchor="co_footnote_F51110408358_1">
        <w:r>
          <w:rPr>
            <w:rFonts w:ascii="Times New Roman" w:hAnsi="Times New Roman"/>
            <w:color w:val="006fc4"/>
            <w:sz w:val="16"/>
            <w:vertAlign w:val="superscript"/>
          </w:rPr>
          <w:t>51</w:t>
        </w:r>
      </w:hyperlink>
      <w:bookmarkEnd w:id="75"/>
      <w:r>
        <w:rPr>
          <w:rFonts w:ascii="Times New Roman" w:hAnsi="Times New Roman"/>
          <w:color w:val="1f1f1f"/>
          <w:sz w:val="20"/>
        </w:rPr>
        <w:t xml:space="preserve"> particularly in close cases.</w:t>
      </w:r>
      <w:bookmarkStart w:id="76" w:name="co_fnRef_F52110408358_ID0EK1AE_1"/>
      <w:hyperlink w:anchor="co_footnote_F52110408358_1">
        <w:r>
          <w:rPr>
            <w:rFonts w:ascii="Times New Roman" w:hAnsi="Times New Roman"/>
            <w:color w:val="006fc4"/>
            <w:sz w:val="16"/>
            <w:vertAlign w:val="superscript"/>
          </w:rPr>
          <w:t>52</w:t>
        </w:r>
      </w:hyperlink>
      <w:bookmarkEnd w:id="76"/>
    </w:p>
    <w:bookmarkEnd w:id="64"/>
    <w:p>
      <w:pPr>
        <w:spacing w:before="0" w:after="0" w:line="275" w:lineRule="atLeast"/>
        <w:jc w:val="both"/>
      </w:pPr>
      <w:r>
        <w:rPr>
          <w:rFonts w:ascii="Times New Roman" w:hAnsi="Times New Roman"/>
          <w:color w:val="1f1f1f"/>
          <w:sz w:val="20"/>
        </w:rPr>
        <w:t> </w:t>
      </w:r>
    </w:p>
    <w:bookmarkStart w:id="77" w:name="co_g_ID0ER1AE_1"/>
    <w:p>
      <w:pPr>
        <w:spacing w:before="0" w:after="0" w:line="275" w:lineRule="atLeast"/>
        <w:jc w:val="both"/>
      </w:pPr>
      <w:r>
        <w:rPr>
          <w:rFonts w:ascii="Times New Roman" w:hAnsi="Times New Roman"/>
          <w:color w:val="1f1f1f"/>
          <w:sz w:val="20"/>
        </w:rPr>
        <w:t>There are two significant additional areas of uncertainty about judicial estoppel. The first uncertainty is whether the doctrine applies if the first case settled. Generally, a court does not adopt a party's statement in a settlement, even if the court approves a decree or judgment.</w:t>
      </w:r>
      <w:bookmarkStart w:id="78" w:name="co_fnRef_F53110408358_ID0E61AE_1"/>
      <w:hyperlink w:anchor="co_footnote_F53110408358_1">
        <w:r>
          <w:rPr>
            <w:rFonts w:ascii="Times New Roman" w:hAnsi="Times New Roman"/>
            <w:color w:val="006fc4"/>
            <w:sz w:val="16"/>
            <w:vertAlign w:val="superscript"/>
          </w:rPr>
          <w:t>53</w:t>
        </w:r>
      </w:hyperlink>
      <w:bookmarkEnd w:id="78"/>
      <w:r>
        <w:rPr>
          <w:rFonts w:ascii="Times New Roman" w:hAnsi="Times New Roman"/>
          <w:color w:val="1f1f1f"/>
          <w:sz w:val="20"/>
        </w:rPr>
        <w:t xml:space="preserve"> However, there is a contrary view based on the argument that “persons who triumph by inducing their opponents to surrender have ‘prevailed’ as surely as persons who induce the judge to grant summary judgment.”</w:t>
      </w:r>
      <w:bookmarkStart w:id="79" w:name="co_fnRef_F54110408358_ID0EM2AE_1"/>
      <w:hyperlink w:anchor="co_footnote_F54110408358_1">
        <w:r>
          <w:rPr>
            <w:rFonts w:ascii="Times New Roman" w:hAnsi="Times New Roman"/>
            <w:color w:val="006fc4"/>
            <w:sz w:val="16"/>
            <w:vertAlign w:val="superscript"/>
          </w:rPr>
          <w:t>54</w:t>
        </w:r>
      </w:hyperlink>
      <w:bookmarkEnd w:id="79"/>
    </w:p>
    <w:bookmarkEnd w:id="77"/>
    <w:p>
      <w:pPr>
        <w:spacing w:before="0" w:after="0" w:line="275" w:lineRule="atLeast"/>
        <w:jc w:val="both"/>
      </w:pPr>
      <w:r>
        <w:rPr>
          <w:rFonts w:ascii="Times New Roman" w:hAnsi="Times New Roman"/>
          <w:color w:val="1f1f1f"/>
          <w:sz w:val="20"/>
        </w:rPr>
        <w:t> </w:t>
      </w:r>
    </w:p>
    <w:bookmarkStart w:id="80" w:name="co_g_ID0ET2AE_1"/>
    <w:p>
      <w:pPr>
        <w:spacing w:before="0" w:after="0" w:line="275" w:lineRule="atLeast"/>
        <w:jc w:val="both"/>
      </w:pPr>
      <w:r>
        <w:rPr>
          <w:rFonts w:ascii="Times New Roman" w:hAnsi="Times New Roman"/>
          <w:color w:val="1f1f1f"/>
          <w:sz w:val="20"/>
        </w:rPr>
        <w:t>The second uncertainty is the effect of statements made in the course of non-judicial proceedings, a particularly important question today in the context of administrative proceedings under the Americans with Disabilities Act.</w:t>
      </w:r>
      <w:bookmarkStart w:id="81" w:name="co_fnRef_F55110408358_ID0E22AE_1"/>
      <w:hyperlink w:anchor="co_footnote_F55110408358_1">
        <w:r>
          <w:rPr>
            <w:rFonts w:ascii="Times New Roman" w:hAnsi="Times New Roman"/>
            <w:color w:val="006fc4"/>
            <w:sz w:val="16"/>
            <w:vertAlign w:val="superscript"/>
          </w:rPr>
          <w:t>55</w:t>
        </w:r>
      </w:hyperlink>
      <w:bookmarkEnd w:id="81"/>
      <w:r>
        <w:rPr>
          <w:rFonts w:ascii="Times New Roman" w:hAnsi="Times New Roman"/>
          <w:color w:val="1f1f1f"/>
          <w:sz w:val="20"/>
        </w:rPr>
        <w:t xml:space="preserve"> Although some courts say the doctrine applies to nonjudicial proceedings,</w:t>
      </w:r>
      <w:bookmarkStart w:id="82" w:name="co_fnRef_F56110408358_ID0E52AE_1"/>
      <w:hyperlink w:anchor="co_footnote_F56110408358_1">
        <w:r>
          <w:rPr>
            <w:rFonts w:ascii="Times New Roman" w:hAnsi="Times New Roman"/>
            <w:color w:val="006fc4"/>
            <w:sz w:val="16"/>
            <w:vertAlign w:val="superscript"/>
          </w:rPr>
          <w:t>56</w:t>
        </w:r>
      </w:hyperlink>
      <w:bookmarkEnd w:id="82"/>
      <w:r>
        <w:rPr>
          <w:rFonts w:ascii="Times New Roman" w:hAnsi="Times New Roman"/>
          <w:color w:val="1f1f1f"/>
          <w:sz w:val="20"/>
        </w:rPr>
        <w:t xml:space="preserve"> it is most accurate to say that the doctrine's applicability depends on the procedural structure of the </w:t>
      </w:r>
      <w:bookmarkStart w:id="83" w:name="co_pp_sp_100385_10_1"/>
      <w:r>
        <w:rPr>
          <w:rFonts w:ascii="Times New Roman" w:hAnsi="Times New Roman"/>
          <w:b/>
          <w:color w:val="000000"/>
          <w:sz w:val="20"/>
        </w:rPr>
        <w:t>*10</w:t>
      </w:r>
      <w:bookmarkEnd w:id="83"/>
      <w:r>
        <w:rPr>
          <w:rFonts w:ascii="Times New Roman" w:hAnsi="Times New Roman"/>
          <w:color w:val="1f1f1f"/>
          <w:sz w:val="20"/>
        </w:rPr>
        <w:t xml:space="preserve"> prior proceeding, looking at such factors as whether the proceeding was adversarial and whether counsel was present.</w:t>
      </w:r>
      <w:bookmarkStart w:id="84" w:name="co_fnRef_F57110408358_ID0EH3AE_1"/>
      <w:hyperlink w:anchor="co_footnote_F57110408358_1">
        <w:r>
          <w:rPr>
            <w:rFonts w:ascii="Times New Roman" w:hAnsi="Times New Roman"/>
            <w:color w:val="006fc4"/>
            <w:sz w:val="16"/>
            <w:vertAlign w:val="superscript"/>
          </w:rPr>
          <w:t>57</w:t>
        </w:r>
      </w:hyperlink>
      <w:bookmarkEnd w:id="84"/>
    </w:p>
    <w:bookmarkEnd w:id="80"/>
    <w:p>
      <w:pPr>
        <w:spacing w:before="0" w:after="0" w:line="275" w:lineRule="atLeast"/>
        <w:jc w:val="both"/>
      </w:pPr>
      <w:r>
        <w:rPr>
          <w:rFonts w:ascii="Times New Roman" w:hAnsi="Times New Roman"/>
          <w:color w:val="1f1f1f"/>
          <w:sz w:val="20"/>
        </w:rPr>
        <w:t> </w:t>
      </w:r>
    </w:p>
    <w:bookmarkStart w:id="85" w:name="co_g_ID0EO3AE_1"/>
    <w:p>
      <w:pPr>
        <w:spacing w:before="0" w:after="0" w:line="275" w:lineRule="atLeast"/>
        <w:jc w:val="both"/>
      </w:pPr>
      <w:r>
        <w:rPr>
          <w:rFonts w:ascii="Times New Roman" w:hAnsi="Times New Roman"/>
          <w:color w:val="1f1f1f"/>
          <w:sz w:val="20"/>
        </w:rPr>
        <w:t>These doctrinal lines are not clear-cut. The Fifth Circuit, for example, has characterized the doctrine at different times both in its equitable estoppel sense</w:t>
      </w:r>
      <w:bookmarkStart w:id="86" w:name="co_fnRef_F58110408358_ID0EX3AE_1"/>
      <w:hyperlink w:anchor="co_footnote_F58110408358_1">
        <w:r>
          <w:rPr>
            <w:rFonts w:ascii="Times New Roman" w:hAnsi="Times New Roman"/>
            <w:color w:val="006fc4"/>
            <w:sz w:val="16"/>
            <w:vertAlign w:val="superscript"/>
          </w:rPr>
          <w:t>58</w:t>
        </w:r>
      </w:hyperlink>
      <w:bookmarkEnd w:id="86"/>
      <w:r>
        <w:rPr>
          <w:rFonts w:ascii="Times New Roman" w:hAnsi="Times New Roman"/>
          <w:color w:val="1f1f1f"/>
          <w:sz w:val="20"/>
        </w:rPr>
        <w:t xml:space="preserve"> and in a manner reminiscent of the “fast and loose” test.</w:t>
      </w:r>
      <w:bookmarkStart w:id="87" w:name="co_fnRef_F59110408358_ID0E33AE_1"/>
      <w:hyperlink w:anchor="co_footnote_F59110408358_1">
        <w:r>
          <w:rPr>
            <w:rFonts w:ascii="Times New Roman" w:hAnsi="Times New Roman"/>
            <w:color w:val="006fc4"/>
            <w:sz w:val="16"/>
            <w:vertAlign w:val="superscript"/>
          </w:rPr>
          <w:t>59</w:t>
        </w:r>
      </w:hyperlink>
      <w:bookmarkEnd w:id="87"/>
      <w:r>
        <w:rPr>
          <w:rFonts w:ascii="Times New Roman" w:hAnsi="Times New Roman"/>
          <w:color w:val="1f1f1f"/>
          <w:sz w:val="20"/>
        </w:rPr>
        <w:t xml:space="preserve"> And, as an equitable doctrine, judicial estoppel is inherently somewhat slippery in its application no matter what the formal doctrine provides.</w:t>
      </w:r>
      <w:bookmarkStart w:id="88" w:name="co_fnRef_F60110408358_ID0EA4AE_1"/>
      <w:hyperlink w:anchor="co_footnote_F60110408358_1">
        <w:r>
          <w:rPr>
            <w:rFonts w:ascii="Times New Roman" w:hAnsi="Times New Roman"/>
            <w:color w:val="006fc4"/>
            <w:sz w:val="16"/>
            <w:vertAlign w:val="superscript"/>
          </w:rPr>
          <w:t>60</w:t>
        </w:r>
      </w:hyperlink>
      <w:bookmarkEnd w:id="88"/>
    </w:p>
    <w:bookmarkEnd w:id="85"/>
    <w:p>
      <w:pPr>
        <w:spacing w:before="0" w:after="0" w:line="275" w:lineRule="atLeast"/>
        <w:jc w:val="both"/>
      </w:pPr>
      <w:r>
        <w:rPr>
          <w:rFonts w:ascii="Times New Roman" w:hAnsi="Times New Roman"/>
          <w:color w:val="1f1f1f"/>
          <w:sz w:val="20"/>
        </w:rPr>
        <w:t> </w:t>
      </w:r>
    </w:p>
    <w:bookmarkStart w:id="89" w:name="co_g_ID0EH4AE_1"/>
    <w:p>
      <w:pPr>
        <w:spacing w:before="0" w:after="0" w:line="275" w:lineRule="atLeast"/>
        <w:jc w:val="both"/>
      </w:pPr>
      <w:r>
        <w:rPr>
          <w:rFonts w:ascii="Times New Roman" w:hAnsi="Times New Roman"/>
          <w:color w:val="1f1f1f"/>
          <w:sz w:val="20"/>
        </w:rPr>
        <w:t>2. Jurisdictions rejecting the doctrine.--The doctrine of judicial estoppel has also been rejected, most notably by the Tenth and D.C. Circuits. In Parkinson v. California Co.,</w:t>
      </w:r>
      <w:bookmarkStart w:id="90" w:name="co_fnRef_F61110408358_ID0EQ4AE_1"/>
      <w:hyperlink w:anchor="co_footnote_F61110408358_1">
        <w:r>
          <w:rPr>
            <w:rFonts w:ascii="Times New Roman" w:hAnsi="Times New Roman"/>
            <w:color w:val="006fc4"/>
            <w:sz w:val="16"/>
            <w:vertAlign w:val="superscript"/>
          </w:rPr>
          <w:t>61</w:t>
        </w:r>
      </w:hyperlink>
      <w:bookmarkEnd w:id="90"/>
      <w:r>
        <w:rPr>
          <w:rFonts w:ascii="Times New Roman" w:hAnsi="Times New Roman"/>
          <w:color w:val="1f1f1f"/>
          <w:sz w:val="20"/>
        </w:rPr>
        <w:t xml:space="preserve"> the Tenth Circuit characterized courts accepting judicial estoppel as the minority, and criticized the doctrine in two related ways.</w:t>
      </w:r>
      <w:bookmarkStart w:id="91" w:name="co_fnRef_F62110408358_ID0EV4AE_1"/>
      <w:hyperlink w:anchor="co_footnote_F62110408358_1">
        <w:r>
          <w:rPr>
            <w:rFonts w:ascii="Times New Roman" w:hAnsi="Times New Roman"/>
            <w:color w:val="006fc4"/>
            <w:sz w:val="16"/>
            <w:vertAlign w:val="superscript"/>
          </w:rPr>
          <w:t>62</w:t>
        </w:r>
      </w:hyperlink>
      <w:bookmarkEnd w:id="91"/>
      <w:r>
        <w:rPr>
          <w:rFonts w:ascii="Times New Roman" w:hAnsi="Times New Roman"/>
          <w:color w:val="1f1f1f"/>
          <w:sz w:val="20"/>
        </w:rPr>
        <w:t xml:space="preserve"> The court observed that “[e]ven in the case of false statements in pleadings, public policy can be vindicated otherwise--and more practicably and fairly in most instances--than through suppression of truth in the future,” noting that inconsistent statements could be probative evidence on important issues.</w:t>
      </w:r>
      <w:bookmarkStart w:id="92" w:name="co_fnRef_F63110408358_ID0ED5AE_1"/>
      <w:hyperlink w:anchor="co_footnote_F63110408358_1">
        <w:r>
          <w:rPr>
            <w:rFonts w:ascii="Times New Roman" w:hAnsi="Times New Roman"/>
            <w:color w:val="006fc4"/>
            <w:sz w:val="16"/>
            <w:vertAlign w:val="superscript"/>
          </w:rPr>
          <w:t>63</w:t>
        </w:r>
      </w:hyperlink>
      <w:bookmarkEnd w:id="92"/>
      <w:r>
        <w:rPr>
          <w:rFonts w:ascii="Times New Roman" w:hAnsi="Times New Roman"/>
          <w:color w:val="1f1f1f"/>
          <w:sz w:val="20"/>
        </w:rPr>
        <w:t xml:space="preserve"> More specifically, the court noted that the assertion of inconsistent positions was expressly allowed by </w:t>
      </w:r>
      <w:hyperlink r:id="r8">
        <w:r>
          <w:rPr>
            <w:rFonts w:ascii="Times New Roman" w:hAnsi="Times New Roman"/>
            <w:color w:val="006fc4"/>
            <w:sz w:val="20"/>
          </w:rPr>
          <w:t>Federal Rule of Civil Procedure 8(e)</w:t>
        </w:r>
      </w:hyperlink>
      <w:r>
        <w:rPr>
          <w:rFonts w:ascii="Times New Roman" w:hAnsi="Times New Roman"/>
          <w:color w:val="1f1f1f"/>
          <w:sz w:val="20"/>
        </w:rPr>
        <w:t>, and it expressed concern that the judicial estoppel doctrine “would discourage the determination of cases on the basis of the true facts as they might be established ultimately.”</w:t>
      </w:r>
      <w:bookmarkStart w:id="93" w:name="co_fnRef_F64110408358_ID0EZ5AE_1"/>
      <w:hyperlink w:anchor="co_footnote_F64110408358_1">
        <w:r>
          <w:rPr>
            <w:rFonts w:ascii="Times New Roman" w:hAnsi="Times New Roman"/>
            <w:color w:val="006fc4"/>
            <w:sz w:val="16"/>
            <w:vertAlign w:val="superscript"/>
          </w:rPr>
          <w:t>64</w:t>
        </w:r>
      </w:hyperlink>
      <w:bookmarkEnd w:id="93"/>
      <w:r>
        <w:rPr>
          <w:rFonts w:ascii="Times New Roman" w:hAnsi="Times New Roman"/>
          <w:color w:val="1f1f1f"/>
          <w:sz w:val="20"/>
        </w:rPr>
        <w:t xml:space="preserve"> The Tenth </w:t>
      </w:r>
      <w:bookmarkStart w:id="94" w:name="co_pp_sp_100385_11_1"/>
      <w:r>
        <w:rPr>
          <w:rFonts w:ascii="Times New Roman" w:hAnsi="Times New Roman"/>
          <w:b/>
          <w:color w:val="000000"/>
          <w:sz w:val="20"/>
        </w:rPr>
        <w:t>*11</w:t>
      </w:r>
      <w:bookmarkEnd w:id="94"/>
      <w:r>
        <w:rPr>
          <w:rFonts w:ascii="Times New Roman" w:hAnsi="Times New Roman"/>
          <w:color w:val="1f1f1f"/>
          <w:sz w:val="20"/>
        </w:rPr>
        <w:t xml:space="preserve"> Circuit continues to follow Parkinson</w:t>
      </w:r>
      <w:bookmarkStart w:id="95" w:name="co_fnRef_F65110408358_ID0EB6AE_1"/>
      <w:hyperlink w:anchor="co_footnote_F65110408358_1">
        <w:r>
          <w:rPr>
            <w:rFonts w:ascii="Times New Roman" w:hAnsi="Times New Roman"/>
            <w:color w:val="006fc4"/>
            <w:sz w:val="16"/>
            <w:vertAlign w:val="superscript"/>
          </w:rPr>
          <w:t>65</w:t>
        </w:r>
      </w:hyperlink>
      <w:bookmarkEnd w:id="95"/>
      <w:r>
        <w:rPr>
          <w:rFonts w:ascii="Times New Roman" w:hAnsi="Times New Roman"/>
          <w:color w:val="1f1f1f"/>
          <w:sz w:val="20"/>
        </w:rPr>
        <w:t xml:space="preserve"> and the D.C. Circuit has adopted its reasoning, noting the same concerns.</w:t>
      </w:r>
      <w:bookmarkStart w:id="96" w:name="co_fnRef_F66110408358_ID0EF6AE_1"/>
      <w:hyperlink w:anchor="co_footnote_F66110408358_1">
        <w:r>
          <w:rPr>
            <w:rFonts w:ascii="Times New Roman" w:hAnsi="Times New Roman"/>
            <w:color w:val="006fc4"/>
            <w:sz w:val="16"/>
            <w:vertAlign w:val="superscript"/>
          </w:rPr>
          <w:t>66</w:t>
        </w:r>
      </w:hyperlink>
      <w:bookmarkEnd w:id="96"/>
    </w:p>
    <w:bookmarkEnd w:id="89"/>
    <w:p>
      <w:pPr>
        <w:spacing w:before="0" w:after="0" w:line="275" w:lineRule="atLeast"/>
        <w:jc w:val="both"/>
      </w:pPr>
      <w:r>
        <w:rPr>
          <w:rFonts w:ascii="Times New Roman" w:hAnsi="Times New Roman"/>
          <w:color w:val="1f1f1f"/>
          <w:sz w:val="20"/>
        </w:rPr>
        <w:t> </w:t>
      </w:r>
    </w:p>
    <w:bookmarkStart w:id="97" w:name="co_g_ID0EM6AE_1"/>
    <w:p>
      <w:pPr>
        <w:spacing w:before="0" w:after="0" w:line="275" w:lineRule="atLeast"/>
        <w:jc w:val="both"/>
      </w:pPr>
      <w:r>
        <w:rPr>
          <w:rFonts w:ascii="Times New Roman" w:hAnsi="Times New Roman"/>
          <w:color w:val="1f1f1f"/>
          <w:sz w:val="20"/>
        </w:rPr>
        <w:t xml:space="preserve">The specific point made by Parkinson about </w:t>
      </w:r>
      <w:hyperlink r:id="r9">
        <w:r>
          <w:rPr>
            <w:rFonts w:ascii="Times New Roman" w:hAnsi="Times New Roman"/>
            <w:color w:val="006fc4"/>
            <w:sz w:val="20"/>
          </w:rPr>
          <w:t>Rule 8(e)</w:t>
        </w:r>
      </w:hyperlink>
      <w:r>
        <w:rPr>
          <w:rFonts w:ascii="Times New Roman" w:hAnsi="Times New Roman"/>
          <w:color w:val="1f1f1f"/>
          <w:sz w:val="20"/>
        </w:rPr>
        <w:t>, while commended by thoughtful commentators,</w:t>
      </w:r>
      <w:bookmarkStart w:id="98" w:name="co_fnRef_F67110408358_ID0E16AE_1"/>
      <w:hyperlink w:anchor="co_footnote_F67110408358_1">
        <w:r>
          <w:rPr>
            <w:rFonts w:ascii="Times New Roman" w:hAnsi="Times New Roman"/>
            <w:color w:val="006fc4"/>
            <w:sz w:val="16"/>
            <w:vertAlign w:val="superscript"/>
          </w:rPr>
          <w:t>67</w:t>
        </w:r>
      </w:hyperlink>
      <w:bookmarkEnd w:id="98"/>
      <w:r>
        <w:rPr>
          <w:rFonts w:ascii="Times New Roman" w:hAnsi="Times New Roman"/>
          <w:color w:val="1f1f1f"/>
          <w:sz w:val="20"/>
        </w:rPr>
        <w:t xml:space="preserve"> is debatable.</w:t>
      </w:r>
      <w:bookmarkStart w:id="99" w:name="co_fnRef_F68110408358_ID0EAAAG_1"/>
      <w:hyperlink w:anchor="co_footnote_F68110408358_1">
        <w:r>
          <w:rPr>
            <w:rFonts w:ascii="Times New Roman" w:hAnsi="Times New Roman"/>
            <w:color w:val="006fc4"/>
            <w:sz w:val="16"/>
            <w:vertAlign w:val="superscript"/>
          </w:rPr>
          <w:t>68</w:t>
        </w:r>
      </w:hyperlink>
      <w:bookmarkEnd w:id="99"/>
      <w:r>
        <w:rPr>
          <w:rFonts w:ascii="Times New Roman" w:hAnsi="Times New Roman"/>
          <w:color w:val="1f1f1f"/>
          <w:sz w:val="20"/>
        </w:rPr>
        <w:t xml:space="preserve"> That rule speaks only to inconsistencies within a case, as the discovery process develops the facts. It does not speak to whether, after the facts are fully developed in a case and a position is ultimately crystallized about them, a litigant may then assert a new, inconsistent position in another case.</w:t>
      </w:r>
      <w:bookmarkStart w:id="100" w:name="co_fnRef_F69110408358_ID0EIAAG_1"/>
      <w:hyperlink w:anchor="co_footnote_F69110408358_1">
        <w:r>
          <w:rPr>
            <w:rFonts w:ascii="Times New Roman" w:hAnsi="Times New Roman"/>
            <w:color w:val="006fc4"/>
            <w:sz w:val="16"/>
            <w:vertAlign w:val="superscript"/>
          </w:rPr>
          <w:t>69</w:t>
        </w:r>
      </w:hyperlink>
      <w:bookmarkEnd w:id="100"/>
      <w:r>
        <w:rPr>
          <w:rFonts w:ascii="Times New Roman" w:hAnsi="Times New Roman"/>
          <w:color w:val="1f1f1f"/>
          <w:sz w:val="20"/>
        </w:rPr>
        <w:t xml:space="preserve"> In the first case, after all, the claims can “be evaluated as such by the same tribunal, thus allowing an internally consistent final decision to be reached,”</w:t>
      </w:r>
      <w:bookmarkStart w:id="101" w:name="co_fnRef_F70110408358_ID0EUAAG_1"/>
      <w:hyperlink w:anchor="co_footnote_F70110408358_1">
        <w:r>
          <w:rPr>
            <w:rFonts w:ascii="Times New Roman" w:hAnsi="Times New Roman"/>
            <w:color w:val="006fc4"/>
            <w:sz w:val="16"/>
            <w:vertAlign w:val="superscript"/>
          </w:rPr>
          <w:t>70</w:t>
        </w:r>
      </w:hyperlink>
      <w:bookmarkEnd w:id="101"/>
      <w:r>
        <w:rPr>
          <w:rFonts w:ascii="Times New Roman" w:hAnsi="Times New Roman"/>
          <w:color w:val="1f1f1f"/>
          <w:sz w:val="20"/>
        </w:rPr>
        <w:t xml:space="preserve"> particularly with regard to pleading amendments that would cause contradictions by adding inconsistent claims.</w:t>
      </w:r>
      <w:bookmarkStart w:id="102" w:name="co_fnRef_F71110408358_ID0EYAAG_1"/>
      <w:hyperlink w:anchor="co_footnote_F71110408358_1">
        <w:r>
          <w:rPr>
            <w:rFonts w:ascii="Times New Roman" w:hAnsi="Times New Roman"/>
            <w:color w:val="006fc4"/>
            <w:sz w:val="16"/>
            <w:vertAlign w:val="superscript"/>
          </w:rPr>
          <w:t>71</w:t>
        </w:r>
      </w:hyperlink>
      <w:bookmarkEnd w:id="102"/>
    </w:p>
    <w:bookmarkEnd w:id="97"/>
    <w:p>
      <w:pPr>
        <w:spacing w:before="0" w:after="0" w:line="275" w:lineRule="atLeast"/>
        <w:jc w:val="both"/>
      </w:pPr>
      <w:r>
        <w:rPr>
          <w:rFonts w:ascii="Times New Roman" w:hAnsi="Times New Roman"/>
          <w:color w:val="1f1f1f"/>
          <w:sz w:val="20"/>
        </w:rPr>
        <w:t> </w:t>
      </w:r>
    </w:p>
    <w:bookmarkStart w:id="103" w:name="co_g_ID0E6AAG_1"/>
    <w:p>
      <w:pPr>
        <w:spacing w:before="0" w:after="0" w:line="275" w:lineRule="atLeast"/>
        <w:jc w:val="both"/>
      </w:pPr>
      <w:r>
        <w:rPr>
          <w:rFonts w:ascii="Times New Roman" w:hAnsi="Times New Roman"/>
          <w:color w:val="1f1f1f"/>
          <w:sz w:val="20"/>
        </w:rPr>
        <w:t xml:space="preserve">The more general observation made by the Parkinson court can be criticized as imposing on litigants the burden of presenting inconsistencies to a fact finder. Nevertheless, it is difficult to be too critical of the opinion's reasoning on this point because it is hard to say with certainty that those costs would outweigh those of unfairly silencing litigants at an early stage of their cases, and the considered </w:t>
      </w:r>
      <w:bookmarkStart w:id="104" w:name="co_pp_sp_100385_12_1"/>
      <w:r>
        <w:rPr>
          <w:rFonts w:ascii="Times New Roman" w:hAnsi="Times New Roman"/>
          <w:b/>
          <w:color w:val="000000"/>
          <w:sz w:val="20"/>
        </w:rPr>
        <w:t>*12</w:t>
      </w:r>
      <w:bookmarkEnd w:id="104"/>
      <w:r>
        <w:rPr>
          <w:rFonts w:ascii="Times New Roman" w:hAnsi="Times New Roman"/>
          <w:color w:val="1f1f1f"/>
          <w:sz w:val="20"/>
        </w:rPr>
        <w:t xml:space="preserve"> judgment of a federal court of appeals on the issue may be as sound a resolution of the issue as possible given this uncertainty.</w:t>
      </w:r>
      <w:bookmarkStart w:id="105" w:name="co_fnRef_F72110408358_ID0EOBAG_1"/>
      <w:hyperlink w:anchor="co_footnote_F72110408358_1">
        <w:r>
          <w:rPr>
            <w:rFonts w:ascii="Times New Roman" w:hAnsi="Times New Roman"/>
            <w:color w:val="006fc4"/>
            <w:sz w:val="16"/>
            <w:vertAlign w:val="superscript"/>
          </w:rPr>
          <w:t>72</w:t>
        </w:r>
      </w:hyperlink>
      <w:bookmarkEnd w:id="105"/>
    </w:p>
    <w:bookmarkEnd w:id="103"/>
    <w:p>
      <w:pPr>
        <w:spacing w:before="0" w:after="0" w:line="275" w:lineRule="atLeast"/>
        <w:jc w:val="both"/>
      </w:pPr>
      <w:r>
        <w:rPr>
          <w:rFonts w:ascii="Times New Roman" w:hAnsi="Times New Roman"/>
          <w:color w:val="1f1f1f"/>
          <w:sz w:val="20"/>
        </w:rPr>
        <w:t> </w:t>
      </w:r>
    </w:p>
    <w:bookmarkStart w:id="106" w:name="co_g_ID0EVBAG_1"/>
    <w:p>
      <w:pPr>
        <w:spacing w:before="200" w:after="0" w:line="240" w:lineRule="auto"/>
      </w:pPr>
      <w:r>
        <w:rPr>
          <w:rFonts w:ascii="Times New Roman" w:hAnsi="Times New Roman"/>
          <w:b/>
          <w:color w:val="1f1f1f"/>
          <w:sz w:val="20"/>
        </w:rPr>
        <w:t>B. Judicial Admissions</w:t>
      </w:r>
    </w:p>
    <w:bookmarkEnd w:id="106"/>
    <w:bookmarkStart w:id="107" w:name="co_g_ID0E6BAG_1"/>
    <w:p>
      <w:pPr>
        <w:spacing w:before="200" w:after="0" w:line="275" w:lineRule="atLeast"/>
        <w:jc w:val="both"/>
      </w:pPr>
      <w:r>
        <w:rPr>
          <w:rFonts w:ascii="Times New Roman" w:hAnsi="Times New Roman"/>
          <w:color w:val="1f1f1f"/>
          <w:sz w:val="20"/>
        </w:rPr>
        <w:t>The doctrine of judicial admissions defines a category of statements that are so certain and definite that they entirely remove matters from dispute, rather than simply being probative evidence of a matter.</w:t>
      </w:r>
      <w:bookmarkStart w:id="108" w:name="co_fnRef_F73110408358_ID0EHCAG_1"/>
      <w:hyperlink w:anchor="co_footnote_F73110408358_1">
        <w:r>
          <w:rPr>
            <w:rFonts w:ascii="Times New Roman" w:hAnsi="Times New Roman"/>
            <w:color w:val="006fc4"/>
            <w:sz w:val="16"/>
            <w:vertAlign w:val="superscript"/>
          </w:rPr>
          <w:t>73</w:t>
        </w:r>
      </w:hyperlink>
      <w:bookmarkEnd w:id="108"/>
      <w:r>
        <w:rPr>
          <w:rFonts w:ascii="Times New Roman" w:hAnsi="Times New Roman"/>
          <w:color w:val="1f1f1f"/>
          <w:sz w:val="20"/>
        </w:rPr>
        <w:t xml:space="preserve"> The policy goal of this doctrine is to help narrow issues to save discovery expense and trial time and to facilitate settlement.</w:t>
      </w:r>
      <w:bookmarkStart w:id="109" w:name="co_fnRef_F74110408358_ID0ELCAG_1"/>
      <w:hyperlink w:anchor="co_footnote_F74110408358_1">
        <w:r>
          <w:rPr>
            <w:rFonts w:ascii="Times New Roman" w:hAnsi="Times New Roman"/>
            <w:color w:val="006fc4"/>
            <w:sz w:val="16"/>
            <w:vertAlign w:val="superscript"/>
          </w:rPr>
          <w:t>74</w:t>
        </w:r>
      </w:hyperlink>
      <w:bookmarkEnd w:id="109"/>
    </w:p>
    <w:bookmarkEnd w:id="107"/>
    <w:p>
      <w:pPr>
        <w:spacing w:before="0" w:after="0" w:line="275" w:lineRule="atLeast"/>
        <w:jc w:val="both"/>
      </w:pPr>
      <w:r>
        <w:rPr>
          <w:rFonts w:ascii="Times New Roman" w:hAnsi="Times New Roman"/>
          <w:color w:val="1f1f1f"/>
          <w:sz w:val="20"/>
        </w:rPr>
        <w:t> </w:t>
      </w:r>
    </w:p>
    <w:bookmarkStart w:id="110" w:name="co_g_ID0ESCAG_1"/>
    <w:p>
      <w:pPr>
        <w:spacing w:before="0" w:after="0" w:line="275" w:lineRule="atLeast"/>
        <w:jc w:val="both"/>
      </w:pPr>
      <w:r>
        <w:rPr>
          <w:rFonts w:ascii="Times New Roman" w:hAnsi="Times New Roman"/>
          <w:color w:val="1f1f1f"/>
          <w:sz w:val="20"/>
        </w:rPr>
        <w:t xml:space="preserve">Courts recognize several categories of judicial admissions. It is generally held that a judicial admission includes an admission obtained under </w:t>
      </w:r>
      <w:hyperlink r:id="r10">
        <w:r>
          <w:rPr>
            <w:rFonts w:ascii="Times New Roman" w:hAnsi="Times New Roman"/>
            <w:color w:val="006fc4"/>
            <w:sz w:val="20"/>
          </w:rPr>
          <w:t>Federal Rule of Civil Procedure 36</w:t>
        </w:r>
      </w:hyperlink>
      <w:r>
        <w:rPr>
          <w:rFonts w:ascii="Times New Roman" w:hAnsi="Times New Roman"/>
          <w:color w:val="1f1f1f"/>
          <w:sz w:val="20"/>
        </w:rPr>
        <w:t xml:space="preserve"> or an analogous state rule,</w:t>
      </w:r>
      <w:bookmarkStart w:id="111" w:name="co_fnRef_F75110408358_ID0EDDAG_1"/>
      <w:hyperlink w:anchor="co_footnote_F75110408358_1">
        <w:r>
          <w:rPr>
            <w:rFonts w:ascii="Times New Roman" w:hAnsi="Times New Roman"/>
            <w:color w:val="006fc4"/>
            <w:sz w:val="16"/>
            <w:vertAlign w:val="superscript"/>
          </w:rPr>
          <w:t>75</w:t>
        </w:r>
      </w:hyperlink>
      <w:bookmarkEnd w:id="111"/>
      <w:r>
        <w:rPr>
          <w:rFonts w:ascii="Times New Roman" w:hAnsi="Times New Roman"/>
          <w:color w:val="1f1f1f"/>
          <w:sz w:val="20"/>
        </w:rPr>
        <w:t xml:space="preserve"> an admission in an answer</w:t>
      </w:r>
      <w:bookmarkStart w:id="112" w:name="co_fnRef_F76110408358_ID0EGDAG_1"/>
      <w:hyperlink w:anchor="co_footnote_F76110408358_1">
        <w:r>
          <w:rPr>
            <w:rFonts w:ascii="Times New Roman" w:hAnsi="Times New Roman"/>
            <w:color w:val="006fc4"/>
            <w:sz w:val="16"/>
            <w:vertAlign w:val="superscript"/>
          </w:rPr>
          <w:t>76</w:t>
        </w:r>
      </w:hyperlink>
      <w:bookmarkEnd w:id="112"/>
      <w:r>
        <w:rPr>
          <w:rFonts w:ascii="Times New Roman" w:hAnsi="Times New Roman"/>
          <w:color w:val="1f1f1f"/>
          <w:sz w:val="20"/>
        </w:rPr>
        <w:t xml:space="preserve"> or other comparable live pleading,</w:t>
      </w:r>
      <w:bookmarkStart w:id="113" w:name="co_fnRef_F77110408358_ID0EJDAG_1"/>
      <w:hyperlink w:anchor="co_footnote_F77110408358_1">
        <w:r>
          <w:rPr>
            <w:rFonts w:ascii="Times New Roman" w:hAnsi="Times New Roman"/>
            <w:color w:val="006fc4"/>
            <w:sz w:val="16"/>
            <w:vertAlign w:val="superscript"/>
          </w:rPr>
          <w:t>77</w:t>
        </w:r>
      </w:hyperlink>
      <w:bookmarkEnd w:id="113"/>
      <w:r>
        <w:rPr>
          <w:rFonts w:ascii="Times New Roman" w:hAnsi="Times New Roman"/>
          <w:color w:val="1f1f1f"/>
          <w:sz w:val="20"/>
        </w:rPr>
        <w:t xml:space="preserve"> certain unequivocal declarations by counsel in open court,</w:t>
      </w:r>
      <w:bookmarkStart w:id="114" w:name="co_fnRef_F78110408358_ID0EMDAG_1"/>
      <w:hyperlink w:anchor="co_footnote_F78110408358_1">
        <w:r>
          <w:rPr>
            <w:rFonts w:ascii="Times New Roman" w:hAnsi="Times New Roman"/>
            <w:color w:val="006fc4"/>
            <w:sz w:val="16"/>
            <w:vertAlign w:val="superscript"/>
          </w:rPr>
          <w:t>78</w:t>
        </w:r>
      </w:hyperlink>
      <w:bookmarkEnd w:id="114"/>
      <w:r>
        <w:rPr>
          <w:rFonts w:ascii="Times New Roman" w:hAnsi="Times New Roman"/>
          <w:color w:val="1f1f1f"/>
          <w:sz w:val="20"/>
        </w:rPr>
        <w:t xml:space="preserve"> or a stipulation.</w:t>
      </w:r>
      <w:bookmarkStart w:id="115" w:name="co_fnRef_F79110408358_ID0ERDAG_1"/>
      <w:hyperlink w:anchor="co_footnote_F79110408358_1">
        <w:r>
          <w:rPr>
            <w:rFonts w:ascii="Times New Roman" w:hAnsi="Times New Roman"/>
            <w:color w:val="006fc4"/>
            <w:sz w:val="16"/>
            <w:vertAlign w:val="superscript"/>
          </w:rPr>
          <w:t>79</w:t>
        </w:r>
      </w:hyperlink>
      <w:bookmarkEnd w:id="115"/>
      <w:r>
        <w:rPr>
          <w:rFonts w:ascii="Times New Roman" w:hAnsi="Times New Roman"/>
          <w:color w:val="1f1f1f"/>
          <w:sz w:val="20"/>
        </w:rPr>
        <w:t xml:space="preserve"> Because a party who has made a judicial </w:t>
      </w:r>
      <w:bookmarkStart w:id="116" w:name="co_pp_sp_100385_13_1"/>
      <w:r>
        <w:rPr>
          <w:rFonts w:ascii="Times New Roman" w:hAnsi="Times New Roman"/>
          <w:b/>
          <w:color w:val="000000"/>
          <w:sz w:val="20"/>
        </w:rPr>
        <w:t>*13</w:t>
      </w:r>
      <w:bookmarkEnd w:id="116"/>
      <w:r>
        <w:rPr>
          <w:rFonts w:ascii="Times New Roman" w:hAnsi="Times New Roman"/>
          <w:color w:val="1f1f1f"/>
          <w:sz w:val="20"/>
        </w:rPr>
        <w:t xml:space="preserve"> admission may not controvert it at trial, such an admission has been characterized as not being evidence at all, but rather a way to withdraw a fact from contention.</w:t>
      </w:r>
      <w:bookmarkStart w:id="117" w:name="co_fnRef_F80110408358_ID0E2DAG_1"/>
      <w:hyperlink w:anchor="co_footnote_F80110408358_1">
        <w:r>
          <w:rPr>
            <w:rFonts w:ascii="Times New Roman" w:hAnsi="Times New Roman"/>
            <w:color w:val="006fc4"/>
            <w:sz w:val="16"/>
            <w:vertAlign w:val="superscript"/>
          </w:rPr>
          <w:t>80</w:t>
        </w:r>
      </w:hyperlink>
      <w:bookmarkEnd w:id="117"/>
      <w:r>
        <w:rPr>
          <w:rFonts w:ascii="Times New Roman" w:hAnsi="Times New Roman"/>
          <w:color w:val="1f1f1f"/>
          <w:sz w:val="20"/>
        </w:rPr>
        <w:t xml:space="preserve"> The discovery rules about judicial admissions are designed to require candor, with sanctions available under at least the federal rules for evasive or dishonest answers to requests for admissions,</w:t>
      </w:r>
      <w:bookmarkStart w:id="118" w:name="co_fnRef_F81110408358_ID0E5DAG_1"/>
      <w:hyperlink w:anchor="co_footnote_F81110408358_1">
        <w:r>
          <w:rPr>
            <w:rFonts w:ascii="Times New Roman" w:hAnsi="Times New Roman"/>
            <w:color w:val="006fc4"/>
            <w:sz w:val="16"/>
            <w:vertAlign w:val="superscript"/>
          </w:rPr>
          <w:t>81</w:t>
        </w:r>
      </w:hyperlink>
      <w:bookmarkEnd w:id="118"/>
      <w:r>
        <w:rPr>
          <w:rFonts w:ascii="Times New Roman" w:hAnsi="Times New Roman"/>
          <w:color w:val="1f1f1f"/>
          <w:sz w:val="20"/>
        </w:rPr>
        <w:t xml:space="preserve"> including deeming the truth of a request that is not properly answered.</w:t>
      </w:r>
      <w:bookmarkStart w:id="119" w:name="co_fnRef_F82110408358_ID0ECEAG_1"/>
      <w:hyperlink w:anchor="co_footnote_F82110408358_1">
        <w:r>
          <w:rPr>
            <w:rFonts w:ascii="Times New Roman" w:hAnsi="Times New Roman"/>
            <w:color w:val="006fc4"/>
            <w:sz w:val="16"/>
            <w:vertAlign w:val="superscript"/>
          </w:rPr>
          <w:t>82</w:t>
        </w:r>
      </w:hyperlink>
      <w:bookmarkEnd w:id="119"/>
    </w:p>
    <w:bookmarkEnd w:id="110"/>
    <w:p>
      <w:pPr>
        <w:spacing w:before="0" w:after="0" w:line="275" w:lineRule="atLeast"/>
        <w:jc w:val="both"/>
      </w:pPr>
      <w:r>
        <w:rPr>
          <w:rFonts w:ascii="Times New Roman" w:hAnsi="Times New Roman"/>
          <w:color w:val="1f1f1f"/>
          <w:sz w:val="20"/>
        </w:rPr>
        <w:t> </w:t>
      </w:r>
    </w:p>
    <w:bookmarkStart w:id="120" w:name="co_g_ID0EJEAG_1"/>
    <w:p>
      <w:pPr>
        <w:spacing w:before="0" w:after="0" w:line="275" w:lineRule="atLeast"/>
        <w:jc w:val="both"/>
      </w:pPr>
      <w:r>
        <w:rPr>
          <w:rFonts w:ascii="Times New Roman" w:hAnsi="Times New Roman"/>
          <w:color w:val="1f1f1f"/>
          <w:sz w:val="20"/>
        </w:rPr>
        <w:t>Courts often contrast judicial admissions with evidentiary admissions, such as admissions made in pleadings in another case,</w:t>
      </w:r>
      <w:bookmarkStart w:id="121" w:name="co_fnRef_F83110408358_ID0EPEAG_1"/>
      <w:hyperlink w:anchor="co_footnote_F83110408358_1">
        <w:r>
          <w:rPr>
            <w:rFonts w:ascii="Times New Roman" w:hAnsi="Times New Roman"/>
            <w:color w:val="006fc4"/>
            <w:sz w:val="16"/>
            <w:vertAlign w:val="superscript"/>
          </w:rPr>
          <w:t>83</w:t>
        </w:r>
      </w:hyperlink>
      <w:bookmarkEnd w:id="121"/>
      <w:r>
        <w:rPr>
          <w:rFonts w:ascii="Times New Roman" w:hAnsi="Times New Roman"/>
          <w:color w:val="1f1f1f"/>
          <w:sz w:val="20"/>
        </w:rPr>
        <w:t xml:space="preserve"> or superseded or amended pleadings,</w:t>
      </w:r>
      <w:bookmarkStart w:id="122" w:name="co_fnRef_F84110408358_ID0ESEAG_1"/>
      <w:hyperlink w:anchor="co_footnote_F84110408358_1">
        <w:r>
          <w:rPr>
            <w:rFonts w:ascii="Times New Roman" w:hAnsi="Times New Roman"/>
            <w:color w:val="006fc4"/>
            <w:sz w:val="16"/>
            <w:vertAlign w:val="superscript"/>
          </w:rPr>
          <w:t>84</w:t>
        </w:r>
      </w:hyperlink>
      <w:bookmarkEnd w:id="122"/>
      <w:r>
        <w:rPr>
          <w:rFonts w:ascii="Times New Roman" w:hAnsi="Times New Roman"/>
          <w:color w:val="1f1f1f"/>
          <w:sz w:val="20"/>
        </w:rPr>
        <w:t xml:space="preserve"> which a party is not automatically barred from controverting at trial.</w:t>
      </w:r>
      <w:bookmarkStart w:id="123" w:name="co_fnRef_F85110408358_ID0EXEAG_1"/>
      <w:hyperlink w:anchor="co_footnote_F85110408358_1">
        <w:r>
          <w:rPr>
            <w:rFonts w:ascii="Times New Roman" w:hAnsi="Times New Roman"/>
            <w:color w:val="006fc4"/>
            <w:sz w:val="16"/>
            <w:vertAlign w:val="superscript"/>
          </w:rPr>
          <w:t>85</w:t>
        </w:r>
      </w:hyperlink>
      <w:bookmarkEnd w:id="123"/>
      <w:r>
        <w:rPr>
          <w:rFonts w:ascii="Times New Roman" w:hAnsi="Times New Roman"/>
          <w:color w:val="1f1f1f"/>
          <w:sz w:val="20"/>
        </w:rPr>
        <w:t xml:space="preserve"> Statements made in certain court filings that are not technically pleadings, such as memoranda of law, are also not generally treated as judicial admissions.</w:t>
      </w:r>
      <w:bookmarkStart w:id="124" w:name="co_fnRef_F86110408358_ID0E2EAG_1"/>
      <w:hyperlink w:anchor="co_footnote_F86110408358_1">
        <w:r>
          <w:rPr>
            <w:rFonts w:ascii="Times New Roman" w:hAnsi="Times New Roman"/>
            <w:color w:val="006fc4"/>
            <w:sz w:val="16"/>
            <w:vertAlign w:val="superscript"/>
          </w:rPr>
          <w:t>86</w:t>
        </w:r>
      </w:hyperlink>
      <w:bookmarkEnd w:id="124"/>
    </w:p>
    <w:bookmarkEnd w:id="120"/>
    <w:p>
      <w:pPr>
        <w:spacing w:before="0" w:after="0" w:line="275" w:lineRule="atLeast"/>
        <w:jc w:val="both"/>
      </w:pPr>
      <w:r>
        <w:rPr>
          <w:rFonts w:ascii="Times New Roman" w:hAnsi="Times New Roman"/>
          <w:color w:val="1f1f1f"/>
          <w:sz w:val="20"/>
        </w:rPr>
        <w:t> </w:t>
      </w:r>
    </w:p>
    <w:bookmarkStart w:id="125" w:name="co_g_ID0ECFAG_1"/>
    <w:p>
      <w:pPr>
        <w:spacing w:before="0" w:after="0" w:line="275" w:lineRule="atLeast"/>
        <w:jc w:val="both"/>
      </w:pPr>
      <w:r>
        <w:rPr>
          <w:rFonts w:ascii="Times New Roman" w:hAnsi="Times New Roman"/>
          <w:color w:val="1f1f1f"/>
          <w:sz w:val="20"/>
        </w:rPr>
        <w:t>Treatment of a party's testimony varies among the jurisdictions. A leading commentator identifies three main approaches.</w:t>
      </w:r>
      <w:bookmarkStart w:id="126" w:name="co_fnRef_F87110408358_ID0ENFAG_1"/>
      <w:hyperlink w:anchor="co_footnote_F87110408358_1">
        <w:r>
          <w:rPr>
            <w:rFonts w:ascii="Times New Roman" w:hAnsi="Times New Roman"/>
            <w:color w:val="006fc4"/>
            <w:sz w:val="16"/>
            <w:vertAlign w:val="superscript"/>
          </w:rPr>
          <w:t>87</w:t>
        </w:r>
      </w:hyperlink>
      <w:bookmarkEnd w:id="126"/>
      <w:r>
        <w:rPr>
          <w:rFonts w:ascii="Times New Roman" w:hAnsi="Times New Roman"/>
          <w:color w:val="1f1f1f"/>
          <w:sz w:val="20"/>
        </w:rPr>
        <w:t xml:space="preserve"> The first treats testimony as only an evidentiary admission, a position accepted by the Seventh Circuit,</w:t>
      </w:r>
      <w:bookmarkStart w:id="127" w:name="co_fnRef_F88110408358_ID0EQFAG_1"/>
      <w:hyperlink w:anchor="co_footnote_F88110408358_1">
        <w:r>
          <w:rPr>
            <w:rFonts w:ascii="Times New Roman" w:hAnsi="Times New Roman"/>
            <w:color w:val="006fc4"/>
            <w:sz w:val="16"/>
            <w:vertAlign w:val="superscript"/>
          </w:rPr>
          <w:t>88</w:t>
        </w:r>
      </w:hyperlink>
      <w:bookmarkEnd w:id="127"/>
      <w:r>
        <w:rPr>
          <w:rFonts w:ascii="Times New Roman" w:hAnsi="Times New Roman"/>
          <w:color w:val="1f1f1f"/>
          <w:sz w:val="20"/>
        </w:rPr>
        <w:t xml:space="preserve"> McCormick on Evidence,</w:t>
      </w:r>
      <w:bookmarkStart w:id="128" w:name="co_fnRef_F89110408358_ID0ETFAG_1"/>
      <w:hyperlink w:anchor="co_footnote_F89110408358_1">
        <w:r>
          <w:rPr>
            <w:rFonts w:ascii="Times New Roman" w:hAnsi="Times New Roman"/>
            <w:color w:val="006fc4"/>
            <w:sz w:val="16"/>
            <w:vertAlign w:val="superscript"/>
          </w:rPr>
          <w:t>89</w:t>
        </w:r>
      </w:hyperlink>
      <w:bookmarkEnd w:id="128"/>
      <w:r>
        <w:rPr>
          <w:rFonts w:ascii="Times New Roman" w:hAnsi="Times New Roman"/>
          <w:color w:val="1f1f1f"/>
          <w:sz w:val="20"/>
        </w:rPr>
        <w:t xml:space="preserve"> and the Federal Practice &amp; Procedure treatise.</w:t>
      </w:r>
      <w:bookmarkStart w:id="129" w:name="co_fnRef_F90110408358_ID0EYFAG_1"/>
      <w:hyperlink w:anchor="co_footnote_F90110408358_1">
        <w:r>
          <w:rPr>
            <w:rFonts w:ascii="Times New Roman" w:hAnsi="Times New Roman"/>
            <w:color w:val="006fc4"/>
            <w:sz w:val="16"/>
            <w:vertAlign w:val="superscript"/>
          </w:rPr>
          <w:t>90</w:t>
        </w:r>
      </w:hyperlink>
      <w:bookmarkEnd w:id="129"/>
      <w:r>
        <w:rPr>
          <w:rFonts w:ascii="Times New Roman" w:hAnsi="Times New Roman"/>
          <w:color w:val="1f1f1f"/>
          <w:sz w:val="20"/>
        </w:rPr>
        <w:t xml:space="preserve"> The second treats a party's testimony </w:t>
      </w:r>
      <w:bookmarkStart w:id="130" w:name="co_pp_sp_100385_14_1"/>
      <w:r>
        <w:rPr>
          <w:rFonts w:ascii="Times New Roman" w:hAnsi="Times New Roman"/>
          <w:b/>
          <w:color w:val="000000"/>
          <w:sz w:val="20"/>
        </w:rPr>
        <w:t>*14</w:t>
      </w:r>
      <w:bookmarkEnd w:id="130"/>
      <w:r>
        <w:rPr>
          <w:rFonts w:ascii="Times New Roman" w:hAnsi="Times New Roman"/>
          <w:color w:val="1f1f1f"/>
          <w:sz w:val="20"/>
        </w:rPr>
        <w:t xml:space="preserve"> as conclusive only when the testimony is on a matter within its “peculiar knowledge” such as testimony about the party's motive.</w:t>
      </w:r>
      <w:bookmarkStart w:id="131" w:name="co_fnRef_F91110408358_ID0ECGAG_1"/>
      <w:hyperlink w:anchor="co_footnote_F91110408358_1">
        <w:r>
          <w:rPr>
            <w:rFonts w:ascii="Times New Roman" w:hAnsi="Times New Roman"/>
            <w:color w:val="006fc4"/>
            <w:sz w:val="16"/>
            <w:vertAlign w:val="superscript"/>
          </w:rPr>
          <w:t>91</w:t>
        </w:r>
      </w:hyperlink>
      <w:bookmarkEnd w:id="131"/>
      <w:r>
        <w:rPr>
          <w:rFonts w:ascii="Times New Roman" w:hAnsi="Times New Roman"/>
          <w:color w:val="1f1f1f"/>
          <w:sz w:val="20"/>
        </w:rPr>
        <w:t xml:space="preserve"> The third treats it as a judicial admission with several exceptions such as for mistaken testimony, opinion testimony, and testimony “unequivocal” when given.</w:t>
      </w:r>
      <w:bookmarkStart w:id="132" w:name="co_fnRef_F92110408358_ID0EGGAG_1"/>
      <w:hyperlink w:anchor="co_footnote_F92110408358_1">
        <w:r>
          <w:rPr>
            <w:rFonts w:ascii="Times New Roman" w:hAnsi="Times New Roman"/>
            <w:color w:val="006fc4"/>
            <w:sz w:val="16"/>
            <w:vertAlign w:val="superscript"/>
          </w:rPr>
          <w:t>92</w:t>
        </w:r>
      </w:hyperlink>
      <w:bookmarkEnd w:id="132"/>
    </w:p>
    <w:bookmarkEnd w:id="125"/>
    <w:p>
      <w:pPr>
        <w:spacing w:before="0" w:after="0" w:line="275" w:lineRule="atLeast"/>
        <w:jc w:val="both"/>
      </w:pPr>
      <w:r>
        <w:rPr>
          <w:rFonts w:ascii="Times New Roman" w:hAnsi="Times New Roman"/>
          <w:color w:val="1f1f1f"/>
          <w:sz w:val="20"/>
        </w:rPr>
        <w:t> </w:t>
      </w:r>
    </w:p>
    <w:bookmarkStart w:id="133" w:name="co_g_ID0ENGAG_1"/>
    <w:p>
      <w:pPr>
        <w:spacing w:before="0" w:after="0" w:line="275" w:lineRule="atLeast"/>
        <w:jc w:val="both"/>
      </w:pPr>
      <w:r>
        <w:rPr>
          <w:rFonts w:ascii="Times New Roman" w:hAnsi="Times New Roman"/>
          <w:color w:val="1f1f1f"/>
          <w:sz w:val="20"/>
        </w:rPr>
        <w:t>Some statements that may qualify as an evidentiary admission under certain circumstances may not under others, such as in a sufficiently complex case</w:t>
      </w:r>
      <w:bookmarkStart w:id="134" w:name="co_fnRef_F93110408358_ID0ETGAG_1"/>
      <w:hyperlink w:anchor="co_footnote_F93110408358_1">
        <w:r>
          <w:rPr>
            <w:rFonts w:ascii="Times New Roman" w:hAnsi="Times New Roman"/>
            <w:color w:val="006fc4"/>
            <w:sz w:val="16"/>
            <w:vertAlign w:val="superscript"/>
          </w:rPr>
          <w:t>93</w:t>
        </w:r>
      </w:hyperlink>
      <w:bookmarkEnd w:id="134"/>
      <w:r>
        <w:rPr>
          <w:rFonts w:ascii="Times New Roman" w:hAnsi="Times New Roman"/>
          <w:color w:val="1f1f1f"/>
          <w:sz w:val="20"/>
        </w:rPr>
        <w:t xml:space="preserve"> or in an appeal.</w:t>
      </w:r>
      <w:bookmarkStart w:id="135" w:name="co_fnRef_F94110408358_ID0EYGAG_1"/>
      <w:hyperlink w:anchor="co_footnote_F94110408358_1">
        <w:r>
          <w:rPr>
            <w:rFonts w:ascii="Times New Roman" w:hAnsi="Times New Roman"/>
            <w:color w:val="006fc4"/>
            <w:sz w:val="16"/>
            <w:vertAlign w:val="superscript"/>
          </w:rPr>
          <w:t>94</w:t>
        </w:r>
      </w:hyperlink>
      <w:bookmarkEnd w:id="135"/>
      <w:r>
        <w:rPr>
          <w:rFonts w:ascii="Times New Roman" w:hAnsi="Times New Roman"/>
          <w:color w:val="1f1f1f"/>
          <w:sz w:val="20"/>
        </w:rPr>
        <w:t xml:space="preserve"> An admission also lacks force in the same action against a party other than the one who made the admission.</w:t>
      </w:r>
      <w:bookmarkStart w:id="136" w:name="co_fnRef_F95110408358_ID0E3GAG_1"/>
      <w:hyperlink w:anchor="co_footnote_F95110408358_1">
        <w:r>
          <w:rPr>
            <w:rFonts w:ascii="Times New Roman" w:hAnsi="Times New Roman"/>
            <w:color w:val="006fc4"/>
            <w:sz w:val="16"/>
            <w:vertAlign w:val="superscript"/>
          </w:rPr>
          <w:t>95</w:t>
        </w:r>
      </w:hyperlink>
      <w:bookmarkEnd w:id="136"/>
    </w:p>
    <w:bookmarkEnd w:id="133"/>
    <w:p>
      <w:pPr>
        <w:spacing w:before="0" w:after="0" w:line="275" w:lineRule="atLeast"/>
        <w:jc w:val="both"/>
      </w:pPr>
      <w:r>
        <w:rPr>
          <w:rFonts w:ascii="Times New Roman" w:hAnsi="Times New Roman"/>
          <w:color w:val="1f1f1f"/>
          <w:sz w:val="20"/>
        </w:rPr>
        <w:t> </w:t>
      </w:r>
    </w:p>
    <w:bookmarkStart w:id="137" w:name="co_g_ID0EDHAG_1"/>
    <w:p>
      <w:pPr>
        <w:spacing w:before="0" w:after="0" w:line="275" w:lineRule="atLeast"/>
        <w:jc w:val="both"/>
      </w:pPr>
      <w:r>
        <w:rPr>
          <w:rFonts w:ascii="Times New Roman" w:hAnsi="Times New Roman"/>
          <w:color w:val="1f1f1f"/>
          <w:sz w:val="20"/>
        </w:rPr>
        <w:t>Procedurally, requests for admissions are generally secured fairly late in a suit, after the pleadings are finalized and discovery is done or near completion.</w:t>
      </w:r>
      <w:bookmarkStart w:id="138" w:name="co_fnRef_F96110408358_ID0ELHAG_1"/>
      <w:hyperlink w:anchor="co_footnote_F96110408358_1">
        <w:r>
          <w:rPr>
            <w:rFonts w:ascii="Times New Roman" w:hAnsi="Times New Roman"/>
            <w:color w:val="006fc4"/>
            <w:sz w:val="16"/>
            <w:vertAlign w:val="superscript"/>
          </w:rPr>
          <w:t>96</w:t>
        </w:r>
      </w:hyperlink>
      <w:bookmarkEnd w:id="138"/>
      <w:r>
        <w:rPr>
          <w:rFonts w:ascii="Times New Roman" w:hAnsi="Times New Roman"/>
          <w:color w:val="1f1f1f"/>
          <w:sz w:val="20"/>
        </w:rPr>
        <w:t xml:space="preserve"> Because the facts are more clearly developed at that point, the sanction for a failure to admit can then be established with more certainty.</w:t>
      </w:r>
    </w:p>
    <w:bookmarkEnd w:id="137"/>
    <w:p>
      <w:pPr>
        <w:spacing w:before="0" w:after="0" w:line="275" w:lineRule="atLeast"/>
        <w:jc w:val="both"/>
      </w:pPr>
      <w:r>
        <w:rPr>
          <w:rFonts w:ascii="Times New Roman" w:hAnsi="Times New Roman"/>
          <w:color w:val="1f1f1f"/>
          <w:sz w:val="20"/>
        </w:rPr>
        <w:t> </w:t>
      </w:r>
    </w:p>
    <w:bookmarkStart w:id="139" w:name="co_g_ID0EUHAG_1"/>
    <w:p>
      <w:pPr>
        <w:spacing w:before="200" w:after="0" w:line="240" w:lineRule="auto"/>
      </w:pPr>
      <w:bookmarkStart w:id="140" w:name="co_pp_sp_100385_15_1"/>
      <w:r>
        <w:rPr>
          <w:rFonts w:ascii="Times New Roman" w:hAnsi="Times New Roman"/>
          <w:b/>
          <w:color w:val="000000"/>
          <w:sz w:val="20"/>
        </w:rPr>
        <w:t>*15</w:t>
      </w:r>
      <w:bookmarkEnd w:id="140"/>
      <w:r>
        <w:rPr>
          <w:rFonts w:ascii="Times New Roman" w:hAnsi="Times New Roman"/>
          <w:b/>
          <w:color w:val="1f1f1f"/>
          <w:sz w:val="20"/>
        </w:rPr>
        <w:t xml:space="preserve"> III. Comparison of the Two Doctrines</w:t>
      </w:r>
    </w:p>
    <w:bookmarkEnd w:id="139"/>
    <w:bookmarkStart w:id="141" w:name="co_g_ID0ECIAG_1"/>
    <w:p>
      <w:pPr>
        <w:spacing w:before="400" w:after="0" w:line="240" w:lineRule="auto"/>
      </w:pPr>
      <w:r>
        <w:rPr>
          <w:rFonts w:ascii="Times New Roman" w:hAnsi="Times New Roman"/>
          <w:b/>
          <w:color w:val="1f1f1f"/>
          <w:sz w:val="20"/>
        </w:rPr>
        <w:t>A. Similar Effects</w:t>
      </w:r>
    </w:p>
    <w:bookmarkEnd w:id="141"/>
    <w:bookmarkStart w:id="142" w:name="co_g_ID0EMIAG_1"/>
    <w:p>
      <w:pPr>
        <w:spacing w:before="200" w:after="0" w:line="275" w:lineRule="atLeast"/>
        <w:jc w:val="both"/>
      </w:pPr>
      <w:r>
        <w:rPr>
          <w:rFonts w:ascii="Times New Roman" w:hAnsi="Times New Roman"/>
          <w:color w:val="1f1f1f"/>
          <w:sz w:val="20"/>
        </w:rPr>
        <w:t>A judicial admission conclusively establishes the matter admitted for purposes of the action in which the admission is made. A judicial admission thus functions like an estoppel, preventing the admitting party from offering proof at trial to contradict it. Similarly, judicial estoppel functions something like a judicial admission. If a party is judicially estopped from contradicting a prior statement, it is in a similar position to having made a judicial admission on that subject.</w:t>
      </w:r>
      <w:bookmarkStart w:id="143" w:name="co_fnRef_F97110408358_ID0E4IAG_1"/>
      <w:hyperlink w:anchor="co_footnote_F97110408358_1">
        <w:r>
          <w:rPr>
            <w:rFonts w:ascii="Times New Roman" w:hAnsi="Times New Roman"/>
            <w:color w:val="006fc4"/>
            <w:sz w:val="16"/>
            <w:vertAlign w:val="superscript"/>
          </w:rPr>
          <w:t>97</w:t>
        </w:r>
      </w:hyperlink>
      <w:bookmarkEnd w:id="143"/>
      <w:r>
        <w:rPr>
          <w:rFonts w:ascii="Times New Roman" w:hAnsi="Times New Roman"/>
          <w:color w:val="1f1f1f"/>
          <w:sz w:val="20"/>
        </w:rPr>
        <w:t xml:space="preserve"> The practical question posed by the judicial estoppel doctrine can thus be characterized as asking when a statement should have the effect of a judicial admission in an action other than the one in which the statement was made.</w:t>
      </w:r>
    </w:p>
    <w:bookmarkEnd w:id="142"/>
    <w:p>
      <w:pPr>
        <w:spacing w:before="0" w:after="0" w:line="275" w:lineRule="atLeast"/>
        <w:jc w:val="both"/>
      </w:pPr>
      <w:r>
        <w:rPr>
          <w:rFonts w:ascii="Times New Roman" w:hAnsi="Times New Roman"/>
          <w:color w:val="1f1f1f"/>
          <w:sz w:val="20"/>
        </w:rPr>
        <w:t> </w:t>
      </w:r>
    </w:p>
    <w:bookmarkStart w:id="144" w:name="co_g_ID0EGJAG_1"/>
    <w:p>
      <w:pPr>
        <w:spacing w:before="0" w:after="0" w:line="275" w:lineRule="atLeast"/>
        <w:jc w:val="both"/>
      </w:pPr>
      <w:r>
        <w:rPr>
          <w:rFonts w:ascii="Times New Roman" w:hAnsi="Times New Roman"/>
          <w:color w:val="1f1f1f"/>
          <w:sz w:val="20"/>
        </w:rPr>
        <w:t>While this comparison is not made often, some case law does recognize it. Courts criticizing the doctrine have noted that “[t]he inconsistent statements may be evidentiary as ad missions--convincing, persuasive or of little weight, according to the particular circumstances...”</w:t>
      </w:r>
      <w:bookmarkStart w:id="145" w:name="co_fnRef_F98110408358_ID0E1JAG_1"/>
      <w:hyperlink w:anchor="co_footnote_F98110408358_1">
        <w:r>
          <w:rPr>
            <w:rFonts w:ascii="Times New Roman" w:hAnsi="Times New Roman"/>
            <w:color w:val="006fc4"/>
            <w:sz w:val="16"/>
            <w:vertAlign w:val="superscript"/>
          </w:rPr>
          <w:t>98</w:t>
        </w:r>
      </w:hyperlink>
      <w:bookmarkEnd w:id="145"/>
      <w:r>
        <w:rPr>
          <w:rFonts w:ascii="Times New Roman" w:hAnsi="Times New Roman"/>
          <w:color w:val="1f1f1f"/>
          <w:sz w:val="20"/>
        </w:rPr>
        <w:t xml:space="preserve"> This observation clearly refers to evidentiary admissions, but it nevertheless helps illustrate the relevance of the general concept of admissions to judicial estoppel doctrine.</w:t>
      </w:r>
    </w:p>
    <w:bookmarkEnd w:id="144"/>
    <w:p>
      <w:pPr>
        <w:spacing w:before="0" w:after="0" w:line="275" w:lineRule="atLeast"/>
        <w:jc w:val="both"/>
      </w:pPr>
      <w:r>
        <w:rPr>
          <w:rFonts w:ascii="Times New Roman" w:hAnsi="Times New Roman"/>
          <w:color w:val="1f1f1f"/>
          <w:sz w:val="20"/>
        </w:rPr>
        <w:t> </w:t>
      </w:r>
    </w:p>
    <w:bookmarkStart w:id="146" w:name="co_g_ID0EDKAG_1"/>
    <w:p>
      <w:pPr>
        <w:spacing w:before="0" w:after="0" w:line="275" w:lineRule="atLeast"/>
        <w:jc w:val="both"/>
      </w:pPr>
      <w:r>
        <w:rPr>
          <w:rFonts w:ascii="Times New Roman" w:hAnsi="Times New Roman"/>
          <w:color w:val="1f1f1f"/>
          <w:sz w:val="20"/>
        </w:rPr>
        <w:t>This comparison is more common in older cases and doctrines. For example, the Supreme Court once described the underlying principles as “the wise and salutary doctrine which binds a party to his judicial declarations, and forbids him from subsequently contradicting his statements thus made.”</w:t>
      </w:r>
      <w:bookmarkStart w:id="147" w:name="co_fnRef_F99110408358_ID0EXKAG_1"/>
      <w:hyperlink w:anchor="co_footnote_F99110408358_1">
        <w:r>
          <w:rPr>
            <w:rFonts w:ascii="Times New Roman" w:hAnsi="Times New Roman"/>
            <w:color w:val="006fc4"/>
            <w:sz w:val="16"/>
            <w:vertAlign w:val="superscript"/>
          </w:rPr>
          <w:t>99</w:t>
        </w:r>
      </w:hyperlink>
      <w:bookmarkEnd w:id="147"/>
      <w:r>
        <w:rPr>
          <w:rFonts w:ascii="Times New Roman" w:hAnsi="Times New Roman"/>
          <w:color w:val="1f1f1f"/>
          <w:sz w:val="20"/>
        </w:rPr>
        <w:t xml:space="preserve"> The doctrines of estoppel by deed</w:t>
      </w:r>
      <w:bookmarkStart w:id="148" w:name="co_fnRef_F100110408358_ID0E1KAG_1"/>
      <w:hyperlink w:anchor="co_footnote_F100110408358_1">
        <w:r>
          <w:rPr>
            <w:rFonts w:ascii="Times New Roman" w:hAnsi="Times New Roman"/>
            <w:color w:val="006fc4"/>
            <w:sz w:val="16"/>
            <w:vertAlign w:val="superscript"/>
          </w:rPr>
          <w:t>100</w:t>
        </w:r>
      </w:hyperlink>
      <w:bookmarkEnd w:id="148"/>
      <w:r>
        <w:rPr>
          <w:rFonts w:ascii="Times New Roman" w:hAnsi="Times New Roman"/>
          <w:color w:val="1f1f1f"/>
          <w:sz w:val="20"/>
        </w:rPr>
        <w:t xml:space="preserve"> and, to the extent it still has viability, the doctrine of estoppel </w:t>
      </w:r>
      <w:bookmarkStart w:id="149" w:name="co_pp_sp_100385_16_1"/>
      <w:r>
        <w:rPr>
          <w:rFonts w:ascii="Times New Roman" w:hAnsi="Times New Roman"/>
          <w:b/>
          <w:color w:val="000000"/>
          <w:sz w:val="20"/>
        </w:rPr>
        <w:t>*16</w:t>
      </w:r>
      <w:bookmarkEnd w:id="149"/>
      <w:r>
        <w:rPr>
          <w:rFonts w:ascii="Times New Roman" w:hAnsi="Times New Roman"/>
          <w:color w:val="1f1f1f"/>
          <w:sz w:val="20"/>
        </w:rPr>
        <w:t xml:space="preserve"> by record are similar to judicial estoppel,</w:t>
      </w:r>
      <w:bookmarkStart w:id="150" w:name="co_fnRef_F101110408358_ID0ECLAG_1"/>
      <w:hyperlink w:anchor="co_footnote_F101110408358_1">
        <w:r>
          <w:rPr>
            <w:rFonts w:ascii="Times New Roman" w:hAnsi="Times New Roman"/>
            <w:color w:val="006fc4"/>
            <w:sz w:val="16"/>
            <w:vertAlign w:val="superscript"/>
          </w:rPr>
          <w:t>101</w:t>
        </w:r>
      </w:hyperlink>
      <w:bookmarkEnd w:id="150"/>
      <w:r>
        <w:rPr>
          <w:rFonts w:ascii="Times New Roman" w:hAnsi="Times New Roman"/>
          <w:color w:val="1f1f1f"/>
          <w:sz w:val="20"/>
        </w:rPr>
        <w:t xml:space="preserve"> and their bases resemble those for judicial admissions. Both envision an estoppel doctrine not based on detrimental reliance per se,</w:t>
      </w:r>
      <w:bookmarkStart w:id="151" w:name="co_fnRef_F102110408358_ID0EILAG_1"/>
      <w:hyperlink w:anchor="co_footnote_F102110408358_1">
        <w:r>
          <w:rPr>
            <w:rFonts w:ascii="Times New Roman" w:hAnsi="Times New Roman"/>
            <w:color w:val="006fc4"/>
            <w:sz w:val="16"/>
            <w:vertAlign w:val="superscript"/>
          </w:rPr>
          <w:t>102</w:t>
        </w:r>
      </w:hyperlink>
      <w:bookmarkEnd w:id="151"/>
      <w:r>
        <w:rPr>
          <w:rFonts w:ascii="Times New Roman" w:hAnsi="Times New Roman"/>
          <w:color w:val="1f1f1f"/>
          <w:sz w:val="20"/>
        </w:rPr>
        <w:t xml:space="preserve"> but, like judicial estoppel, on a theory of presumed reliance based on the “solemnity” of the device that obtains the admission.</w:t>
      </w:r>
      <w:bookmarkStart w:id="152" w:name="co_fnRef_F103110408358_ID0EMLAG_1"/>
      <w:hyperlink w:anchor="co_footnote_F103110408358_1">
        <w:r>
          <w:rPr>
            <w:rFonts w:ascii="Times New Roman" w:hAnsi="Times New Roman"/>
            <w:color w:val="006fc4"/>
            <w:sz w:val="16"/>
            <w:vertAlign w:val="superscript"/>
          </w:rPr>
          <w:t>103</w:t>
        </w:r>
      </w:hyperlink>
      <w:bookmarkEnd w:id="152"/>
    </w:p>
    <w:bookmarkEnd w:id="146"/>
    <w:p>
      <w:pPr>
        <w:spacing w:before="0" w:after="0" w:line="275" w:lineRule="atLeast"/>
        <w:jc w:val="both"/>
      </w:pPr>
      <w:r>
        <w:rPr>
          <w:rFonts w:ascii="Times New Roman" w:hAnsi="Times New Roman"/>
          <w:color w:val="1f1f1f"/>
          <w:sz w:val="20"/>
        </w:rPr>
        <w:t> </w:t>
      </w:r>
    </w:p>
    <w:bookmarkStart w:id="153" w:name="co_g_ID0ETLAG_1"/>
    <w:p>
      <w:pPr>
        <w:spacing w:before="0" w:after="0" w:line="275" w:lineRule="atLeast"/>
        <w:jc w:val="both"/>
      </w:pPr>
      <w:r>
        <w:rPr>
          <w:rFonts w:ascii="Times New Roman" w:hAnsi="Times New Roman"/>
          <w:color w:val="1f1f1f"/>
          <w:sz w:val="20"/>
        </w:rPr>
        <w:t>A line of older commentaries on estoppel doctrine also frequently characterized an estoppel as being an admission,</w:t>
      </w:r>
      <w:bookmarkStart w:id="154" w:name="co_fnRef_F104110408358_ID0EZLAG_1"/>
      <w:hyperlink w:anchor="co_footnote_F104110408358_1">
        <w:r>
          <w:rPr>
            <w:rFonts w:ascii="Times New Roman" w:hAnsi="Times New Roman"/>
            <w:color w:val="006fc4"/>
            <w:sz w:val="16"/>
            <w:vertAlign w:val="superscript"/>
          </w:rPr>
          <w:t>104</w:t>
        </w:r>
      </w:hyperlink>
      <w:bookmarkEnd w:id="154"/>
      <w:r>
        <w:rPr>
          <w:rFonts w:ascii="Times New Roman" w:hAnsi="Times New Roman"/>
          <w:color w:val="1f1f1f"/>
          <w:sz w:val="20"/>
        </w:rPr>
        <w:t xml:space="preserve"> and some case authority followed this lead.</w:t>
      </w:r>
      <w:bookmarkStart w:id="155" w:name="co_fnRef_F105110408358_ID0E5LAG_1"/>
      <w:hyperlink w:anchor="co_footnote_F105110408358_1">
        <w:r>
          <w:rPr>
            <w:rFonts w:ascii="Times New Roman" w:hAnsi="Times New Roman"/>
            <w:color w:val="006fc4"/>
            <w:sz w:val="16"/>
            <w:vertAlign w:val="superscript"/>
          </w:rPr>
          <w:t>105</w:t>
        </w:r>
      </w:hyperlink>
      <w:bookmarkEnd w:id="155"/>
      <w:r>
        <w:rPr>
          <w:rFonts w:ascii="Times New Roman" w:hAnsi="Times New Roman"/>
          <w:color w:val="1f1f1f"/>
          <w:sz w:val="20"/>
        </w:rPr>
        <w:t xml:space="preserve"> This approach ultimately fell out of favor, however, criticized as being “cumbrous” and “not suited to all kinds of estoppel in pais...[such as] waiver.”</w:t>
      </w:r>
      <w:bookmarkStart w:id="156" w:name="co_fnRef_F106110408358_ID0EOMAG_1"/>
      <w:hyperlink w:anchor="co_footnote_F106110408358_1">
        <w:r>
          <w:rPr>
            <w:rFonts w:ascii="Times New Roman" w:hAnsi="Times New Roman"/>
            <w:color w:val="006fc4"/>
            <w:sz w:val="16"/>
            <w:vertAlign w:val="superscript"/>
          </w:rPr>
          <w:t>106</w:t>
        </w:r>
      </w:hyperlink>
      <w:bookmarkEnd w:id="156"/>
    </w:p>
    <w:bookmarkEnd w:id="153"/>
    <w:p>
      <w:pPr>
        <w:spacing w:before="0" w:after="0" w:line="275" w:lineRule="atLeast"/>
        <w:jc w:val="both"/>
      </w:pPr>
      <w:r>
        <w:rPr>
          <w:rFonts w:ascii="Times New Roman" w:hAnsi="Times New Roman"/>
          <w:color w:val="1f1f1f"/>
          <w:sz w:val="20"/>
        </w:rPr>
        <w:t> </w:t>
      </w:r>
    </w:p>
    <w:bookmarkStart w:id="157" w:name="co_g_ID0EVMAG_1"/>
    <w:p>
      <w:pPr>
        <w:spacing w:before="0" w:after="0" w:line="275" w:lineRule="atLeast"/>
        <w:jc w:val="both"/>
      </w:pPr>
      <w:r>
        <w:rPr>
          <w:rFonts w:ascii="Times New Roman" w:hAnsi="Times New Roman"/>
          <w:color w:val="1f1f1f"/>
          <w:sz w:val="20"/>
        </w:rPr>
        <w:t>The analogy between judicial admissions and judicial estoppel can be criticized as having too narrow a focus on statements, since some courts characterize judicial estoppel doctrine as applying to “positions” rather than just statements.</w:t>
      </w:r>
      <w:bookmarkStart w:id="158" w:name="co_fnRef_F107110408358_ID0E4MAG_1"/>
      <w:hyperlink w:anchor="co_footnote_F107110408358_1">
        <w:r>
          <w:rPr>
            <w:rFonts w:ascii="Times New Roman" w:hAnsi="Times New Roman"/>
            <w:color w:val="006fc4"/>
            <w:sz w:val="16"/>
            <w:vertAlign w:val="superscript"/>
          </w:rPr>
          <w:t>107</w:t>
        </w:r>
      </w:hyperlink>
      <w:bookmarkEnd w:id="158"/>
      <w:r>
        <w:rPr>
          <w:rFonts w:ascii="Times New Roman" w:hAnsi="Times New Roman"/>
          <w:color w:val="1f1f1f"/>
          <w:sz w:val="20"/>
        </w:rPr>
        <w:t xml:space="preserve"> If, however, a prior position was so ephemeral that it was not stated in or by judicial admissions, a very fair question arises whether that position should support a judicial estoppel. For example, it does not seem fair to base a judicial estoppel on pleadings that could have been contradicted in the action in which they were originally made.</w:t>
      </w:r>
      <w:bookmarkStart w:id="159" w:name="co_fnRef_F108110408358_ID0EFNAG_1"/>
      <w:hyperlink w:anchor="co_footnote_F108110408358_1">
        <w:r>
          <w:rPr>
            <w:rFonts w:ascii="Times New Roman" w:hAnsi="Times New Roman"/>
            <w:color w:val="006fc4"/>
            <w:sz w:val="16"/>
            <w:vertAlign w:val="superscript"/>
          </w:rPr>
          <w:t>108</w:t>
        </w:r>
      </w:hyperlink>
      <w:bookmarkEnd w:id="159"/>
      <w:r>
        <w:rPr>
          <w:rFonts w:ascii="Times New Roman" w:hAnsi="Times New Roman"/>
          <w:color w:val="1f1f1f"/>
          <w:sz w:val="20"/>
        </w:rPr>
        <w:t xml:space="preserve"> Collateral </w:t>
      </w:r>
      <w:bookmarkStart w:id="160" w:name="co_pp_sp_100385_17_1"/>
      <w:r>
        <w:rPr>
          <w:rFonts w:ascii="Times New Roman" w:hAnsi="Times New Roman"/>
          <w:b/>
          <w:color w:val="000000"/>
          <w:sz w:val="20"/>
        </w:rPr>
        <w:t>*17</w:t>
      </w:r>
      <w:bookmarkEnd w:id="160"/>
      <w:r>
        <w:rPr>
          <w:rFonts w:ascii="Times New Roman" w:hAnsi="Times New Roman"/>
          <w:color w:val="1f1f1f"/>
          <w:sz w:val="20"/>
        </w:rPr>
        <w:t xml:space="preserve"> estoppel, with its focus on efficiency concerns, may be a better tool to foreclose discussion of an issue under these circumstances.</w:t>
      </w:r>
      <w:bookmarkStart w:id="161" w:name="co_fnRef_F109110408358_ID0EONAG_1"/>
      <w:hyperlink w:anchor="co_footnote_F109110408358_1">
        <w:r>
          <w:rPr>
            <w:rFonts w:ascii="Times New Roman" w:hAnsi="Times New Roman"/>
            <w:color w:val="006fc4"/>
            <w:sz w:val="16"/>
            <w:vertAlign w:val="superscript"/>
          </w:rPr>
          <w:t>109</w:t>
        </w:r>
      </w:hyperlink>
      <w:bookmarkEnd w:id="161"/>
    </w:p>
    <w:bookmarkEnd w:id="157"/>
    <w:p>
      <w:pPr>
        <w:spacing w:before="0" w:after="0" w:line="275" w:lineRule="atLeast"/>
        <w:jc w:val="both"/>
      </w:pPr>
      <w:r>
        <w:rPr>
          <w:rFonts w:ascii="Times New Roman" w:hAnsi="Times New Roman"/>
          <w:color w:val="1f1f1f"/>
          <w:sz w:val="20"/>
        </w:rPr>
        <w:t> </w:t>
      </w:r>
    </w:p>
    <w:bookmarkStart w:id="162" w:name="co_g_ID0EVNAG_1"/>
    <w:p>
      <w:pPr>
        <w:spacing w:before="200" w:after="0" w:line="240" w:lineRule="auto"/>
      </w:pPr>
      <w:r>
        <w:rPr>
          <w:rFonts w:ascii="Times New Roman" w:hAnsi="Times New Roman"/>
          <w:b/>
          <w:color w:val="1f1f1f"/>
          <w:sz w:val="20"/>
        </w:rPr>
        <w:t>B. Recognition of the Similarities</w:t>
      </w:r>
    </w:p>
    <w:bookmarkEnd w:id="162"/>
    <w:bookmarkStart w:id="163" w:name="co_g_ID0E6NAG_1"/>
    <w:p>
      <w:pPr>
        <w:spacing w:before="200" w:after="0" w:line="275" w:lineRule="atLeast"/>
        <w:jc w:val="both"/>
      </w:pPr>
      <w:r>
        <w:rPr>
          <w:rFonts w:ascii="Times New Roman" w:hAnsi="Times New Roman"/>
          <w:color w:val="1f1f1f"/>
          <w:sz w:val="20"/>
        </w:rPr>
        <w:t>This section focuses on two aspects of judicial estoppel doctrine. The first is the definition of the universe of relevant statements that, when made in a prior action, can form the basis for a judicial estoppel. The second is the effect that such a statement should have in subsequent cases. As to each aspect, the section describes how judicial admissions doctrine can help clarify the applicable law of judicial estoppel.</w:t>
      </w:r>
    </w:p>
    <w:bookmarkEnd w:id="163"/>
    <w:p>
      <w:pPr>
        <w:spacing w:before="0" w:after="0" w:line="275" w:lineRule="atLeast"/>
        <w:jc w:val="both"/>
      </w:pPr>
      <w:r>
        <w:rPr>
          <w:rFonts w:ascii="Times New Roman" w:hAnsi="Times New Roman"/>
          <w:color w:val="1f1f1f"/>
          <w:sz w:val="20"/>
        </w:rPr>
        <w:t> </w:t>
      </w:r>
    </w:p>
    <w:bookmarkStart w:id="164" w:name="co_g_ID0EUOAG_1"/>
    <w:p>
      <w:pPr>
        <w:spacing w:before="0" w:after="0" w:line="275" w:lineRule="atLeast"/>
        <w:jc w:val="both"/>
      </w:pPr>
      <w:r>
        <w:rPr>
          <w:rFonts w:ascii="Times New Roman" w:hAnsi="Times New Roman"/>
          <w:color w:val="1f1f1f"/>
          <w:sz w:val="20"/>
        </w:rPr>
        <w:t>1. Relevant statements.--If a judicial estoppel is characterized as an extension of a judicial admission from one action into another, then a relevant threshold question would be whether the statement would have had the effect of a judicial admission in the first action.</w:t>
      </w:r>
    </w:p>
    <w:bookmarkEnd w:id="164"/>
    <w:p>
      <w:pPr>
        <w:spacing w:before="0" w:after="0" w:line="275" w:lineRule="atLeast"/>
        <w:jc w:val="both"/>
      </w:pPr>
      <w:r>
        <w:rPr>
          <w:rFonts w:ascii="Times New Roman" w:hAnsi="Times New Roman"/>
          <w:color w:val="1f1f1f"/>
          <w:sz w:val="20"/>
        </w:rPr>
        <w:t> </w:t>
      </w:r>
    </w:p>
    <w:bookmarkStart w:id="165" w:name="co_g_ID0EAPAG_1"/>
    <w:p>
      <w:pPr>
        <w:spacing w:before="0" w:after="0" w:line="275" w:lineRule="atLeast"/>
        <w:jc w:val="both"/>
      </w:pPr>
      <w:r>
        <w:rPr>
          <w:rFonts w:ascii="Times New Roman" w:hAnsi="Times New Roman"/>
          <w:color w:val="1f1f1f"/>
          <w:sz w:val="20"/>
        </w:rPr>
        <w:t>This approach to judicial estoppel avoids a criticism that judicial estoppel is based on archaic ideas about pleading.</w:t>
      </w:r>
      <w:bookmarkStart w:id="166" w:name="co_fnRef_F110110408358_ID0EIPAG_1"/>
      <w:hyperlink w:anchor="co_footnote_F110110408358_1">
        <w:r>
          <w:rPr>
            <w:rFonts w:ascii="Times New Roman" w:hAnsi="Times New Roman"/>
            <w:color w:val="006fc4"/>
            <w:sz w:val="16"/>
            <w:vertAlign w:val="superscript"/>
          </w:rPr>
          <w:t>110</w:t>
        </w:r>
      </w:hyperlink>
      <w:bookmarkEnd w:id="166"/>
      <w:r>
        <w:rPr>
          <w:rFonts w:ascii="Times New Roman" w:hAnsi="Times New Roman"/>
          <w:color w:val="1f1f1f"/>
          <w:sz w:val="20"/>
        </w:rPr>
        <w:t xml:space="preserve"> Detailed fact pleading is not required in a notice pleading system, and it seems unfair to attach an estoppel to a general allegation (although there is an active debate about how much specificity constitutes adequate notice,</w:t>
      </w:r>
      <w:bookmarkStart w:id="167" w:name="co_fnRef_F111110408358_ID0ELPAG_1"/>
      <w:hyperlink w:anchor="co_footnote_F111110408358_1">
        <w:r>
          <w:rPr>
            <w:rFonts w:ascii="Times New Roman" w:hAnsi="Times New Roman"/>
            <w:color w:val="006fc4"/>
            <w:sz w:val="16"/>
            <w:vertAlign w:val="superscript"/>
          </w:rPr>
          <w:t>111</w:t>
        </w:r>
      </w:hyperlink>
      <w:bookmarkEnd w:id="167"/>
      <w:r>
        <w:rPr>
          <w:rFonts w:ascii="Times New Roman" w:hAnsi="Times New Roman"/>
          <w:color w:val="1f1f1f"/>
          <w:sz w:val="20"/>
        </w:rPr>
        <w:t xml:space="preserve"> particularly in the area of qualified immunity</w:t>
      </w:r>
      <w:bookmarkStart w:id="168" w:name="co_fnRef_F112110408358_ID0EOPAG_1"/>
      <w:hyperlink w:anchor="co_footnote_F112110408358_1">
        <w:r>
          <w:rPr>
            <w:rFonts w:ascii="Times New Roman" w:hAnsi="Times New Roman"/>
            <w:color w:val="006fc4"/>
            <w:sz w:val="16"/>
            <w:vertAlign w:val="superscript"/>
          </w:rPr>
          <w:t>112</w:t>
        </w:r>
      </w:hyperlink>
      <w:bookmarkEnd w:id="168"/>
      <w:r>
        <w:rPr>
          <w:rFonts w:ascii="Times New Roman" w:hAnsi="Times New Roman"/>
          <w:color w:val="1f1f1f"/>
          <w:sz w:val="20"/>
        </w:rPr>
        <w:t xml:space="preserve"> and fraud</w:t>
      </w:r>
      <w:bookmarkStart w:id="169" w:name="co_fnRef_F113110408358_ID0ERPAG_1"/>
      <w:hyperlink w:anchor="co_footnote_F113110408358_1">
        <w:r>
          <w:rPr>
            <w:rFonts w:ascii="Times New Roman" w:hAnsi="Times New Roman"/>
            <w:color w:val="006fc4"/>
            <w:sz w:val="16"/>
            <w:vertAlign w:val="superscript"/>
          </w:rPr>
          <w:t>113</w:t>
        </w:r>
      </w:hyperlink>
      <w:bookmarkEnd w:id="169"/>
      <w:r>
        <w:rPr>
          <w:rFonts w:ascii="Times New Roman" w:hAnsi="Times New Roman"/>
          <w:color w:val="1f1f1f"/>
          <w:sz w:val="20"/>
        </w:rPr>
        <w:t>). Setting that debate aside, however, it is clear that notice pleading is augmented by certain procedural devices to obtain binding statements about particular facts.</w:t>
      </w:r>
      <w:bookmarkStart w:id="170" w:name="co_fnRef_F114110408358_ID0EZPAG_1"/>
      <w:hyperlink w:anchor="co_footnote_F114110408358_1">
        <w:r>
          <w:rPr>
            <w:rFonts w:ascii="Times New Roman" w:hAnsi="Times New Roman"/>
            <w:color w:val="006fc4"/>
            <w:sz w:val="16"/>
            <w:vertAlign w:val="superscript"/>
          </w:rPr>
          <w:t>114</w:t>
        </w:r>
      </w:hyperlink>
      <w:bookmarkEnd w:id="170"/>
      <w:r>
        <w:rPr>
          <w:rFonts w:ascii="Times New Roman" w:hAnsi="Times New Roman"/>
          <w:color w:val="1f1f1f"/>
          <w:sz w:val="20"/>
        </w:rPr>
        <w:t xml:space="preserve"> This approach focuses on those </w:t>
      </w:r>
      <w:bookmarkStart w:id="171" w:name="co_pp_sp_100385_18_1"/>
      <w:r>
        <w:rPr>
          <w:rFonts w:ascii="Times New Roman" w:hAnsi="Times New Roman"/>
          <w:b/>
          <w:color w:val="000000"/>
          <w:sz w:val="20"/>
        </w:rPr>
        <w:t>*18</w:t>
      </w:r>
      <w:bookmarkEnd w:id="171"/>
      <w:r>
        <w:rPr>
          <w:rFonts w:ascii="Times New Roman" w:hAnsi="Times New Roman"/>
          <w:color w:val="1f1f1f"/>
          <w:sz w:val="20"/>
        </w:rPr>
        <w:t xml:space="preserve"> specialized rules, and does not encourage an undue focus on purely notice pleadings, since those would ordinarily be treated as evidentiary admissions only and would not support an estoppel under this test.</w:t>
      </w:r>
    </w:p>
    <w:bookmarkEnd w:id="165"/>
    <w:p>
      <w:pPr>
        <w:spacing w:before="0" w:after="0" w:line="275" w:lineRule="atLeast"/>
        <w:jc w:val="both"/>
      </w:pPr>
      <w:r>
        <w:rPr>
          <w:rFonts w:ascii="Times New Roman" w:hAnsi="Times New Roman"/>
          <w:color w:val="1f1f1f"/>
          <w:sz w:val="20"/>
        </w:rPr>
        <w:t> </w:t>
      </w:r>
    </w:p>
    <w:bookmarkStart w:id="172" w:name="co_g_ID0EHQAG_1"/>
    <w:p>
      <w:pPr>
        <w:spacing w:before="0" w:after="0" w:line="275" w:lineRule="atLeast"/>
        <w:jc w:val="both"/>
      </w:pPr>
      <w:r>
        <w:rPr>
          <w:rFonts w:ascii="Times New Roman" w:hAnsi="Times New Roman"/>
          <w:color w:val="1f1f1f"/>
          <w:sz w:val="20"/>
        </w:rPr>
        <w:t>It is one thing to conclusively admit a statement and another to be estopped from denying it. A conclusive admission removes a matter from dispute, while being estopped from denying a statement may not create conclusive proof. In certain situations, for example, the jury may simply not believe the proof put forward by a party on an issue against one estopped to deny that proof.</w:t>
      </w:r>
      <w:bookmarkStart w:id="173" w:name="co_fnRef_F115110408358_ID0EVQAG_1"/>
      <w:hyperlink w:anchor="co_footnote_F115110408358_1">
        <w:r>
          <w:rPr>
            <w:rFonts w:ascii="Times New Roman" w:hAnsi="Times New Roman"/>
            <w:color w:val="006fc4"/>
            <w:sz w:val="16"/>
            <w:vertAlign w:val="superscript"/>
          </w:rPr>
          <w:t>115</w:t>
        </w:r>
      </w:hyperlink>
      <w:bookmarkEnd w:id="173"/>
      <w:r>
        <w:rPr>
          <w:rFonts w:ascii="Times New Roman" w:hAnsi="Times New Roman"/>
          <w:color w:val="1f1f1f"/>
          <w:sz w:val="20"/>
        </w:rPr>
        <w:t xml:space="preserve"> This concern seems largely academic, however, since a party can always send a request for admission on that matter that would be difficult for the opponent to deny credibly.</w:t>
      </w:r>
      <w:bookmarkStart w:id="174" w:name="co_fnRef_F116110408358_ID0EZQAG_1"/>
      <w:hyperlink w:anchor="co_footnote_F116110408358_1">
        <w:r>
          <w:rPr>
            <w:rFonts w:ascii="Times New Roman" w:hAnsi="Times New Roman"/>
            <w:color w:val="006fc4"/>
            <w:sz w:val="16"/>
            <w:vertAlign w:val="superscript"/>
          </w:rPr>
          <w:t>116</w:t>
        </w:r>
      </w:hyperlink>
      <w:bookmarkEnd w:id="174"/>
    </w:p>
    <w:bookmarkEnd w:id="172"/>
    <w:p>
      <w:pPr>
        <w:spacing w:before="0" w:after="0" w:line="275" w:lineRule="atLeast"/>
        <w:jc w:val="both"/>
      </w:pPr>
      <w:r>
        <w:rPr>
          <w:rFonts w:ascii="Times New Roman" w:hAnsi="Times New Roman"/>
          <w:color w:val="1f1f1f"/>
          <w:sz w:val="20"/>
        </w:rPr>
        <w:t> </w:t>
      </w:r>
    </w:p>
    <w:bookmarkStart w:id="175" w:name="co_g_ID0EARAG_1"/>
    <w:p>
      <w:pPr>
        <w:spacing w:before="0" w:after="0" w:line="275" w:lineRule="atLeast"/>
        <w:jc w:val="both"/>
      </w:pPr>
      <w:r>
        <w:rPr>
          <w:rFonts w:ascii="Times New Roman" w:hAnsi="Times New Roman"/>
          <w:color w:val="1f1f1f"/>
          <w:sz w:val="20"/>
        </w:rPr>
        <w:t>2. Level of inconsistency. A case can be made that the doctrine reaches all judicial admissions for all time,</w:t>
      </w:r>
      <w:bookmarkStart w:id="176" w:name="co_fnRef_F117110408358_ID0EJRAG_1"/>
      <w:hyperlink w:anchor="co_footnote_F117110408358_1">
        <w:r>
          <w:rPr>
            <w:rFonts w:ascii="Times New Roman" w:hAnsi="Times New Roman"/>
            <w:color w:val="006fc4"/>
            <w:sz w:val="16"/>
            <w:vertAlign w:val="superscript"/>
          </w:rPr>
          <w:t>117</w:t>
        </w:r>
      </w:hyperlink>
      <w:bookmarkEnd w:id="176"/>
      <w:r>
        <w:rPr>
          <w:rFonts w:ascii="Times New Roman" w:hAnsi="Times New Roman"/>
          <w:color w:val="1f1f1f"/>
          <w:sz w:val="20"/>
        </w:rPr>
        <w:t xml:space="preserve"> based on the importance of ensuring accurate and candid admissions, but such a strict view poses a real risk to vigorous advocacy</w:t>
      </w:r>
      <w:bookmarkStart w:id="177" w:name="co_fnRef_F118110408358_ID0EMRAG_1"/>
      <w:hyperlink w:anchor="co_footnote_F118110408358_1">
        <w:r>
          <w:rPr>
            <w:rFonts w:ascii="Times New Roman" w:hAnsi="Times New Roman"/>
            <w:color w:val="006fc4"/>
            <w:sz w:val="16"/>
            <w:vertAlign w:val="superscript"/>
          </w:rPr>
          <w:t>118</w:t>
        </w:r>
      </w:hyperlink>
      <w:bookmarkEnd w:id="177"/>
      <w:r>
        <w:rPr>
          <w:rFonts w:ascii="Times New Roman" w:hAnsi="Times New Roman"/>
          <w:color w:val="1f1f1f"/>
          <w:sz w:val="20"/>
        </w:rPr>
        <w:t xml:space="preserve"> and is not an accepted </w:t>
      </w:r>
      <w:bookmarkStart w:id="178" w:name="co_pp_sp_100385_19_1"/>
      <w:r>
        <w:rPr>
          <w:rFonts w:ascii="Times New Roman" w:hAnsi="Times New Roman"/>
          <w:b/>
          <w:color w:val="000000"/>
          <w:sz w:val="20"/>
        </w:rPr>
        <w:t>*19</w:t>
      </w:r>
      <w:bookmarkEnd w:id="178"/>
      <w:r>
        <w:rPr>
          <w:rFonts w:ascii="Times New Roman" w:hAnsi="Times New Roman"/>
          <w:color w:val="1f1f1f"/>
          <w:sz w:val="20"/>
        </w:rPr>
        <w:t xml:space="preserve"> feature of the law of judicial admissions.</w:t>
      </w:r>
      <w:bookmarkStart w:id="179" w:name="co_fnRef_F119110408358_ID0EWRAG_1"/>
      <w:hyperlink w:anchor="co_footnote_F119110408358_1">
        <w:r>
          <w:rPr>
            <w:rFonts w:ascii="Times New Roman" w:hAnsi="Times New Roman"/>
            <w:color w:val="006fc4"/>
            <w:sz w:val="16"/>
            <w:vertAlign w:val="superscript"/>
          </w:rPr>
          <w:t>119</w:t>
        </w:r>
      </w:hyperlink>
      <w:bookmarkEnd w:id="179"/>
      <w:r>
        <w:rPr>
          <w:rFonts w:ascii="Times New Roman" w:hAnsi="Times New Roman"/>
          <w:color w:val="1f1f1f"/>
          <w:sz w:val="20"/>
        </w:rPr>
        <w:t xml:space="preserve"> An equally clean boundary could be obtained by a rule just limited to sworn statements,</w:t>
      </w:r>
      <w:bookmarkStart w:id="180" w:name="co_fnRef_F120110408358_ID0EZRAG_1"/>
      <w:hyperlink w:anchor="co_footnote_F120110408358_1">
        <w:r>
          <w:rPr>
            <w:rFonts w:ascii="Times New Roman" w:hAnsi="Times New Roman"/>
            <w:color w:val="006fc4"/>
            <w:sz w:val="16"/>
            <w:vertAlign w:val="superscript"/>
          </w:rPr>
          <w:t>120</w:t>
        </w:r>
      </w:hyperlink>
      <w:bookmarkEnd w:id="180"/>
      <w:r>
        <w:rPr>
          <w:rFonts w:ascii="Times New Roman" w:hAnsi="Times New Roman"/>
          <w:color w:val="1f1f1f"/>
          <w:sz w:val="20"/>
        </w:rPr>
        <w:t xml:space="preserve"> but this rule has similar weaknesses if those sworn statements do not constitute judicial admissions, such as certain statements in deposition testimony. It would seem unfair not to allow contradiction of a statement in a later action when the statement could have been contradicted in the action in which it was made.</w:t>
      </w:r>
      <w:bookmarkStart w:id="181" w:name="co_fnRef_F121110408358_ID0EASAG_1"/>
      <w:hyperlink w:anchor="co_footnote_F121110408358_1">
        <w:r>
          <w:rPr>
            <w:rFonts w:ascii="Times New Roman" w:hAnsi="Times New Roman"/>
            <w:color w:val="006fc4"/>
            <w:sz w:val="16"/>
            <w:vertAlign w:val="superscript"/>
          </w:rPr>
          <w:t>121</w:t>
        </w:r>
      </w:hyperlink>
      <w:bookmarkEnd w:id="181"/>
    </w:p>
    <w:bookmarkEnd w:id="175"/>
    <w:p>
      <w:pPr>
        <w:spacing w:before="0" w:after="0" w:line="275" w:lineRule="atLeast"/>
        <w:jc w:val="both"/>
      </w:pPr>
      <w:r>
        <w:rPr>
          <w:rFonts w:ascii="Times New Roman" w:hAnsi="Times New Roman"/>
          <w:color w:val="1f1f1f"/>
          <w:sz w:val="20"/>
        </w:rPr>
        <w:t> </w:t>
      </w:r>
    </w:p>
    <w:bookmarkStart w:id="182" w:name="co_g_ID0EHSAG_1"/>
    <w:p>
      <w:pPr>
        <w:spacing w:before="0" w:after="0" w:line="275" w:lineRule="atLeast"/>
        <w:jc w:val="both"/>
      </w:pPr>
      <w:r>
        <w:rPr>
          <w:rFonts w:ascii="Times New Roman" w:hAnsi="Times New Roman"/>
          <w:color w:val="1f1f1f"/>
          <w:sz w:val="20"/>
        </w:rPr>
        <w:t>A more measured test would focus on the effect of the prior statement in the present action if treated as a judicial admission. The doctrine has been characterized as “rais[ing] the cost of lying,”</w:t>
      </w:r>
      <w:bookmarkStart w:id="183" w:name="co_fnRef_F122110408358_ID0EZSAG_1"/>
      <w:hyperlink w:anchor="co_footnote_F122110408358_1">
        <w:r>
          <w:rPr>
            <w:rFonts w:ascii="Times New Roman" w:hAnsi="Times New Roman"/>
            <w:color w:val="006fc4"/>
            <w:sz w:val="16"/>
            <w:vertAlign w:val="superscript"/>
          </w:rPr>
          <w:t>122</w:t>
        </w:r>
      </w:hyperlink>
      <w:bookmarkEnd w:id="183"/>
      <w:r>
        <w:rPr>
          <w:rFonts w:ascii="Times New Roman" w:hAnsi="Times New Roman"/>
          <w:color w:val="1f1f1f"/>
          <w:sz w:val="20"/>
        </w:rPr>
        <w:t xml:space="preserve"> and this approach is consistent with that characterization. The sanction for inconsistency is in proportion to the issue involved; in other words, if the issue is important to the litigant, then the litigant should not lie about it or risk losing on the issue in the future.</w:t>
      </w:r>
      <w:bookmarkStart w:id="184" w:name="co_fnRef_F123110408358_ID0EATAG_1"/>
      <w:hyperlink w:anchor="co_footnote_F123110408358_1">
        <w:r>
          <w:rPr>
            <w:rFonts w:ascii="Times New Roman" w:hAnsi="Times New Roman"/>
            <w:color w:val="006fc4"/>
            <w:sz w:val="16"/>
            <w:vertAlign w:val="superscript"/>
          </w:rPr>
          <w:t>123</w:t>
        </w:r>
      </w:hyperlink>
      <w:bookmarkEnd w:id="184"/>
    </w:p>
    <w:bookmarkEnd w:id="182"/>
    <w:p>
      <w:pPr>
        <w:spacing w:before="0" w:after="0" w:line="275" w:lineRule="atLeast"/>
        <w:jc w:val="both"/>
      </w:pPr>
      <w:r>
        <w:rPr>
          <w:rFonts w:ascii="Times New Roman" w:hAnsi="Times New Roman"/>
          <w:color w:val="1f1f1f"/>
          <w:sz w:val="20"/>
        </w:rPr>
        <w:t> </w:t>
      </w:r>
    </w:p>
    <w:bookmarkStart w:id="185" w:name="co_g_ID0EHTAG_1"/>
    <w:p>
      <w:pPr>
        <w:spacing w:before="0" w:after="0" w:line="275" w:lineRule="atLeast"/>
        <w:jc w:val="both"/>
      </w:pPr>
      <w:r>
        <w:rPr>
          <w:rFonts w:ascii="Times New Roman" w:hAnsi="Times New Roman"/>
          <w:color w:val="1f1f1f"/>
          <w:sz w:val="20"/>
        </w:rPr>
        <w:t xml:space="preserve">One of two approaches could then be used to determine if the use of that statement in a later case should trigger judicial estoppel. One logical approach would ask if treating the prior statement as a judicial admission would preclude the relief sought. Since a goal of the doctrine is to prevent parties from “blowing hot and cold,” if a </w:t>
      </w:r>
      <w:bookmarkStart w:id="186" w:name="co_pp_sp_100385_20_1"/>
      <w:r>
        <w:rPr>
          <w:rFonts w:ascii="Times New Roman" w:hAnsi="Times New Roman"/>
          <w:b/>
          <w:color w:val="000000"/>
          <w:sz w:val="20"/>
        </w:rPr>
        <w:t>*20</w:t>
      </w:r>
      <w:bookmarkEnd w:id="186"/>
      <w:r>
        <w:rPr>
          <w:rFonts w:ascii="Times New Roman" w:hAnsi="Times New Roman"/>
          <w:color w:val="1f1f1f"/>
          <w:sz w:val="20"/>
        </w:rPr>
        <w:t xml:space="preserve"> statement would make it impossible for a party to “blow cold,” that is a warning sign of an improper inconsistency.</w:t>
      </w:r>
      <w:bookmarkStart w:id="187" w:name="co_fnRef_F124110408358_ID0EZTAG_1"/>
      <w:hyperlink w:anchor="co_footnote_F124110408358_1">
        <w:r>
          <w:rPr>
            <w:rFonts w:ascii="Times New Roman" w:hAnsi="Times New Roman"/>
            <w:color w:val="006fc4"/>
            <w:sz w:val="16"/>
            <w:vertAlign w:val="superscript"/>
          </w:rPr>
          <w:t>124</w:t>
        </w:r>
      </w:hyperlink>
      <w:bookmarkEnd w:id="187"/>
    </w:p>
    <w:bookmarkEnd w:id="185"/>
    <w:p>
      <w:pPr>
        <w:spacing w:before="0" w:after="0" w:line="275" w:lineRule="atLeast"/>
        <w:jc w:val="both"/>
      </w:pPr>
      <w:r>
        <w:rPr>
          <w:rFonts w:ascii="Times New Roman" w:hAnsi="Times New Roman"/>
          <w:color w:val="1f1f1f"/>
          <w:sz w:val="20"/>
        </w:rPr>
        <w:t> </w:t>
      </w:r>
    </w:p>
    <w:bookmarkStart w:id="188" w:name="co_g_ID0EAUAG_1"/>
    <w:p>
      <w:pPr>
        <w:spacing w:before="0" w:after="0" w:line="275" w:lineRule="atLeast"/>
        <w:jc w:val="both"/>
      </w:pPr>
      <w:r>
        <w:rPr>
          <w:rFonts w:ascii="Times New Roman" w:hAnsi="Times New Roman"/>
          <w:color w:val="1f1f1f"/>
          <w:sz w:val="20"/>
        </w:rPr>
        <w:t>In applying this analysis, it is important to define carefully the “admission” from the prior action both as to the fact admitted and as to the relevant legal issue about which the admission was made. Judicial admissions are not intended to establish eternal truths, but rather to remove particularly defined issues from dispute to assist in the efficient resolution of a lawsuit.</w:t>
      </w:r>
      <w:bookmarkStart w:id="189" w:name="co_fnRef_F125110408358_ID0ELUAG_1"/>
      <w:hyperlink w:anchor="co_footnote_F125110408358_1">
        <w:r>
          <w:rPr>
            <w:rFonts w:ascii="Times New Roman" w:hAnsi="Times New Roman"/>
            <w:color w:val="006fc4"/>
            <w:sz w:val="16"/>
            <w:vertAlign w:val="superscript"/>
          </w:rPr>
          <w:t>125</w:t>
        </w:r>
      </w:hyperlink>
      <w:bookmarkEnd w:id="189"/>
      <w:r>
        <w:rPr>
          <w:rFonts w:ascii="Times New Roman" w:hAnsi="Times New Roman"/>
          <w:color w:val="1f1f1f"/>
          <w:sz w:val="20"/>
        </w:rPr>
        <w:t xml:space="preserve"> Looking at the admitted fact alone, without considering the legal framework in which the fact was admitted, can be misleading.</w:t>
      </w:r>
      <w:bookmarkStart w:id="190" w:name="co_fnRef_F126110408358_ID0EPUAG_1"/>
      <w:hyperlink w:anchor="co_footnote_F126110408358_1">
        <w:r>
          <w:rPr>
            <w:rFonts w:ascii="Times New Roman" w:hAnsi="Times New Roman"/>
            <w:color w:val="006fc4"/>
            <w:sz w:val="16"/>
            <w:vertAlign w:val="superscript"/>
          </w:rPr>
          <w:t>126</w:t>
        </w:r>
      </w:hyperlink>
      <w:bookmarkEnd w:id="190"/>
    </w:p>
    <w:bookmarkEnd w:id="188"/>
    <w:p>
      <w:pPr>
        <w:spacing w:before="0" w:after="0" w:line="275" w:lineRule="atLeast"/>
        <w:jc w:val="both"/>
      </w:pPr>
      <w:r>
        <w:rPr>
          <w:rFonts w:ascii="Times New Roman" w:hAnsi="Times New Roman"/>
          <w:color w:val="1f1f1f"/>
          <w:sz w:val="20"/>
        </w:rPr>
        <w:t> </w:t>
      </w:r>
    </w:p>
    <w:bookmarkStart w:id="191" w:name="co_g_ID0EWUAG_1"/>
    <w:p>
      <w:pPr>
        <w:spacing w:before="0" w:after="0" w:line="275" w:lineRule="atLeast"/>
        <w:jc w:val="both"/>
      </w:pPr>
      <w:r>
        <w:rPr>
          <w:rFonts w:ascii="Times New Roman" w:hAnsi="Times New Roman"/>
          <w:color w:val="1f1f1f"/>
          <w:sz w:val="20"/>
        </w:rPr>
        <w:t>Finley v. Kesling</w:t>
      </w:r>
      <w:bookmarkStart w:id="192" w:name="co_fnRef_F127110408358_ID0E3UAG_1"/>
      <w:hyperlink w:anchor="co_footnote_F127110408358_1">
        <w:r>
          <w:rPr>
            <w:rFonts w:ascii="Times New Roman" w:hAnsi="Times New Roman"/>
            <w:color w:val="006fc4"/>
            <w:sz w:val="16"/>
            <w:vertAlign w:val="superscript"/>
          </w:rPr>
          <w:t>127</w:t>
        </w:r>
      </w:hyperlink>
      <w:bookmarkEnd w:id="192"/>
      <w:r>
        <w:rPr>
          <w:rFonts w:ascii="Times New Roman" w:hAnsi="Times New Roman"/>
          <w:color w:val="1f1f1f"/>
          <w:sz w:val="20"/>
        </w:rPr>
        <w:t xml:space="preserve"> illustrates the operation of the test. In a prior case, a party asserted partial ownership of certain property. The court </w:t>
      </w:r>
      <w:bookmarkStart w:id="193" w:name="co_pp_sp_100385_21_1"/>
      <w:r>
        <w:rPr>
          <w:rFonts w:ascii="Times New Roman" w:hAnsi="Times New Roman"/>
          <w:b/>
          <w:color w:val="000000"/>
          <w:sz w:val="20"/>
        </w:rPr>
        <w:t>*21</w:t>
      </w:r>
      <w:bookmarkEnd w:id="193"/>
      <w:r>
        <w:rPr>
          <w:rFonts w:ascii="Times New Roman" w:hAnsi="Times New Roman"/>
          <w:color w:val="1f1f1f"/>
          <w:sz w:val="20"/>
        </w:rPr>
        <w:t xml:space="preserve"> held that judicial estoppel barred the party's assertion in a later case that he owned a greater share of the property than he claimed in the first suit.</w:t>
      </w:r>
      <w:bookmarkStart w:id="194" w:name="co_fnRef_F128110408358_ID0EMVAG_1"/>
      <w:hyperlink w:anchor="co_footnote_F128110408358_1">
        <w:r>
          <w:rPr>
            <w:rFonts w:ascii="Times New Roman" w:hAnsi="Times New Roman"/>
            <w:color w:val="006fc4"/>
            <w:sz w:val="16"/>
            <w:vertAlign w:val="superscript"/>
          </w:rPr>
          <w:t>128</w:t>
        </w:r>
      </w:hyperlink>
      <w:bookmarkEnd w:id="194"/>
      <w:r>
        <w:rPr>
          <w:rFonts w:ascii="Times New Roman" w:hAnsi="Times New Roman"/>
          <w:color w:val="1f1f1f"/>
          <w:sz w:val="20"/>
        </w:rPr>
        <w:t xml:space="preserve"> As one commentator has observed, the inconsistency is not obvious from the face of the opinion if the litigant could have had beneficial ownership of the property, which seems entirely likely from the facts set out.</w:t>
      </w:r>
      <w:bookmarkStart w:id="195" w:name="co_fnRef_F129110408358_ID0ERVAG_1"/>
      <w:hyperlink w:anchor="co_footnote_F129110408358_1">
        <w:r>
          <w:rPr>
            <w:rFonts w:ascii="Times New Roman" w:hAnsi="Times New Roman"/>
            <w:color w:val="006fc4"/>
            <w:sz w:val="16"/>
            <w:vertAlign w:val="superscript"/>
          </w:rPr>
          <w:t>129</w:t>
        </w:r>
      </w:hyperlink>
      <w:bookmarkEnd w:id="195"/>
      <w:r>
        <w:rPr>
          <w:rFonts w:ascii="Times New Roman" w:hAnsi="Times New Roman"/>
          <w:color w:val="1f1f1f"/>
          <w:sz w:val="20"/>
        </w:rPr>
        <w:t xml:space="preserve"> Careful application of the concept of judicial admissions would likely lead to a different result,</w:t>
      </w:r>
      <w:bookmarkStart w:id="196" w:name="co_fnRef_F130110408358_ID0EUVAG_1"/>
      <w:hyperlink w:anchor="co_footnote_F130110408358_1">
        <w:r>
          <w:rPr>
            <w:rFonts w:ascii="Times New Roman" w:hAnsi="Times New Roman"/>
            <w:color w:val="006fc4"/>
            <w:sz w:val="16"/>
            <w:vertAlign w:val="superscript"/>
          </w:rPr>
          <w:t>130</w:t>
        </w:r>
      </w:hyperlink>
      <w:bookmarkEnd w:id="196"/>
      <w:r>
        <w:rPr>
          <w:rFonts w:ascii="Times New Roman" w:hAnsi="Times New Roman"/>
          <w:color w:val="1f1f1f"/>
          <w:sz w:val="20"/>
        </w:rPr>
        <w:t xml:space="preserve"> since the legal issue relevant to the first statement appears different from the relevant issue in the second.</w:t>
      </w:r>
    </w:p>
    <w:bookmarkEnd w:id="191"/>
    <w:p>
      <w:pPr>
        <w:spacing w:before="0" w:after="0" w:line="275" w:lineRule="atLeast"/>
        <w:jc w:val="both"/>
      </w:pPr>
      <w:r>
        <w:rPr>
          <w:rFonts w:ascii="Times New Roman" w:hAnsi="Times New Roman"/>
          <w:color w:val="1f1f1f"/>
          <w:sz w:val="20"/>
        </w:rPr>
        <w:t> </w:t>
      </w:r>
    </w:p>
    <w:bookmarkStart w:id="197" w:name="co_g_ID0E4VAG_1"/>
    <w:p>
      <w:pPr>
        <w:spacing w:before="0" w:after="0" w:line="275" w:lineRule="atLeast"/>
        <w:jc w:val="both"/>
      </w:pPr>
      <w:r>
        <w:rPr>
          <w:rFonts w:ascii="Times New Roman" w:hAnsi="Times New Roman"/>
          <w:color w:val="1f1f1f"/>
          <w:sz w:val="20"/>
        </w:rPr>
        <w:t>The venerable Parkinson</w:t>
      </w:r>
      <w:bookmarkStart w:id="198" w:name="co_fnRef_F131110408358_ID0EDWAG_1"/>
      <w:hyperlink w:anchor="co_footnote_F131110408358_1">
        <w:r>
          <w:rPr>
            <w:rFonts w:ascii="Times New Roman" w:hAnsi="Times New Roman"/>
            <w:color w:val="006fc4"/>
            <w:sz w:val="16"/>
            <w:vertAlign w:val="superscript"/>
          </w:rPr>
          <w:t>131</w:t>
        </w:r>
      </w:hyperlink>
      <w:bookmarkEnd w:id="198"/>
      <w:r>
        <w:rPr>
          <w:rFonts w:ascii="Times New Roman" w:hAnsi="Times New Roman"/>
          <w:color w:val="1f1f1f"/>
          <w:sz w:val="20"/>
        </w:rPr>
        <w:t xml:space="preserve"> case also provides a useful illustration. In Parkinson, the plaintiff sued two defendants in state court for negligence, and simultaneously sued those same defendants, along with a third defendant, in federal court on an independent negligence theory.</w:t>
      </w:r>
      <w:bookmarkStart w:id="199" w:name="co_fnRef_F132110408358_ID0ELWAG_1"/>
      <w:hyperlink w:anchor="co_footnote_F132110408358_1">
        <w:r>
          <w:rPr>
            <w:rFonts w:ascii="Times New Roman" w:hAnsi="Times New Roman"/>
            <w:color w:val="006fc4"/>
            <w:sz w:val="16"/>
            <w:vertAlign w:val="superscript"/>
          </w:rPr>
          <w:t>132</w:t>
        </w:r>
      </w:hyperlink>
      <w:bookmarkEnd w:id="199"/>
      <w:r>
        <w:rPr>
          <w:rFonts w:ascii="Times New Roman" w:hAnsi="Times New Roman"/>
          <w:color w:val="1f1f1f"/>
          <w:sz w:val="20"/>
        </w:rPr>
        <w:t xml:space="preserve"> The district court found that the omission of the third defendant in the state action judicially estopped the plaintiff from suing it in the federal action. The Tenth Circuit reversed.</w:t>
      </w:r>
      <w:bookmarkStart w:id="200" w:name="co_fnRef_F133110408358_ID0ESWAG_1"/>
      <w:hyperlink w:anchor="co_footnote_F133110408358_1">
        <w:r>
          <w:rPr>
            <w:rFonts w:ascii="Times New Roman" w:hAnsi="Times New Roman"/>
            <w:color w:val="006fc4"/>
            <w:sz w:val="16"/>
            <w:vertAlign w:val="superscript"/>
          </w:rPr>
          <w:t>133</w:t>
        </w:r>
      </w:hyperlink>
      <w:bookmarkEnd w:id="200"/>
    </w:p>
    <w:bookmarkEnd w:id="197"/>
    <w:p>
      <w:pPr>
        <w:spacing w:before="0" w:after="0" w:line="275" w:lineRule="atLeast"/>
        <w:jc w:val="both"/>
      </w:pPr>
      <w:r>
        <w:rPr>
          <w:rFonts w:ascii="Times New Roman" w:hAnsi="Times New Roman"/>
          <w:color w:val="1f1f1f"/>
          <w:sz w:val="20"/>
        </w:rPr>
        <w:t> </w:t>
      </w:r>
    </w:p>
    <w:bookmarkStart w:id="201" w:name="co_g_ID0EZWAG_1"/>
    <w:p>
      <w:pPr>
        <w:spacing w:before="0" w:after="0" w:line="275" w:lineRule="atLeast"/>
        <w:jc w:val="both"/>
      </w:pPr>
      <w:r>
        <w:rPr>
          <w:rFonts w:ascii="Times New Roman" w:hAnsi="Times New Roman"/>
          <w:color w:val="1f1f1f"/>
          <w:sz w:val="20"/>
        </w:rPr>
        <w:t>The test in this Article obtains the same result, because the district court's analysis is incorrect under both parts of the proposed test. The statements in the pleadings in the pending state case were presumably subject to amendment, so it is questionable whether they could be considered judicial admissions.</w:t>
      </w:r>
      <w:bookmarkStart w:id="202" w:name="co_fnRef_F134110408358_ID0EEXAG_1"/>
      <w:hyperlink w:anchor="co_footnote_F134110408358_1">
        <w:r>
          <w:rPr>
            <w:rFonts w:ascii="Times New Roman" w:hAnsi="Times New Roman"/>
            <w:color w:val="006fc4"/>
            <w:sz w:val="16"/>
            <w:vertAlign w:val="superscript"/>
          </w:rPr>
          <w:t>134</w:t>
        </w:r>
      </w:hyperlink>
      <w:bookmarkEnd w:id="202"/>
      <w:r>
        <w:rPr>
          <w:rFonts w:ascii="Times New Roman" w:hAnsi="Times New Roman"/>
          <w:color w:val="1f1f1f"/>
          <w:sz w:val="20"/>
        </w:rPr>
        <w:t xml:space="preserve"> Furthermore, the addition of a new theory into a case does not necessarily preclude the viability of the old theories, so the addition of the extra party does not seem improperly inconsistent.</w:t>
      </w:r>
      <w:bookmarkStart w:id="203" w:name="co_fnRef_F135110408358_ID0EJXAG_1"/>
      <w:hyperlink w:anchor="co_footnote_F135110408358_1">
        <w:r>
          <w:rPr>
            <w:rFonts w:ascii="Times New Roman" w:hAnsi="Times New Roman"/>
            <w:color w:val="006fc4"/>
            <w:sz w:val="16"/>
            <w:vertAlign w:val="superscript"/>
          </w:rPr>
          <w:t>135</w:t>
        </w:r>
      </w:hyperlink>
      <w:bookmarkEnd w:id="203"/>
      <w:r>
        <w:rPr>
          <w:rFonts w:ascii="Times New Roman" w:hAnsi="Times New Roman"/>
          <w:color w:val="1f1f1f"/>
          <w:sz w:val="20"/>
        </w:rPr>
        <w:t xml:space="preserve"> This analysis does highlight a point about Parkinson, however, which is that its analysis may overstate the significance of </w:t>
      </w:r>
      <w:hyperlink r:id="r11">
        <w:r>
          <w:rPr>
            <w:rFonts w:ascii="Times New Roman" w:hAnsi="Times New Roman"/>
            <w:color w:val="006fc4"/>
            <w:sz w:val="20"/>
          </w:rPr>
          <w:t>Federal Rule of Civil Procedure 8(e)</w:t>
        </w:r>
      </w:hyperlink>
      <w:r>
        <w:rPr>
          <w:rFonts w:ascii="Times New Roman" w:hAnsi="Times New Roman"/>
          <w:color w:val="1f1f1f"/>
          <w:sz w:val="20"/>
        </w:rPr>
        <w:t xml:space="preserve">. The key point is that the “baseline” statement was in a pending matter and was thus </w:t>
      </w:r>
      <w:bookmarkStart w:id="204" w:name="co_pp_sp_100385_22_1"/>
      <w:r>
        <w:rPr>
          <w:rFonts w:ascii="Times New Roman" w:hAnsi="Times New Roman"/>
          <w:b/>
          <w:color w:val="000000"/>
          <w:sz w:val="20"/>
        </w:rPr>
        <w:t>*22</w:t>
      </w:r>
      <w:bookmarkEnd w:id="204"/>
      <w:r>
        <w:rPr>
          <w:rFonts w:ascii="Times New Roman" w:hAnsi="Times New Roman"/>
          <w:color w:val="1f1f1f"/>
          <w:sz w:val="20"/>
        </w:rPr>
        <w:t xml:space="preserve"> subject to amendment (i.e., it was not yet a judicial admission), not that a general policy favoring inconsistency emanates from </w:t>
      </w:r>
      <w:hyperlink r:id="r12">
        <w:r>
          <w:rPr>
            <w:rFonts w:ascii="Times New Roman" w:hAnsi="Times New Roman"/>
            <w:color w:val="006fc4"/>
            <w:sz w:val="20"/>
          </w:rPr>
          <w:t>Rule 8(e)</w:t>
        </w:r>
      </w:hyperlink>
      <w:r>
        <w:rPr>
          <w:rFonts w:ascii="Times New Roman" w:hAnsi="Times New Roman"/>
          <w:color w:val="1f1f1f"/>
          <w:sz w:val="20"/>
        </w:rPr>
        <w:t>.</w:t>
      </w:r>
      <w:bookmarkStart w:id="205" w:name="co_fnRef_F136110408358_ID0EGYAG_1"/>
      <w:hyperlink w:anchor="co_footnote_F136110408358_1">
        <w:r>
          <w:rPr>
            <w:rFonts w:ascii="Times New Roman" w:hAnsi="Times New Roman"/>
            <w:color w:val="006fc4"/>
            <w:sz w:val="16"/>
            <w:vertAlign w:val="superscript"/>
          </w:rPr>
          <w:t>136</w:t>
        </w:r>
      </w:hyperlink>
      <w:bookmarkEnd w:id="205"/>
      <w:r>
        <w:rPr>
          <w:rFonts w:ascii="Times New Roman" w:hAnsi="Times New Roman"/>
          <w:color w:val="1f1f1f"/>
          <w:sz w:val="20"/>
        </w:rPr>
        <w:t xml:space="preserve"> There are certainly principled reasons to reject the doctrine, but this analysis suggests that </w:t>
      </w:r>
      <w:hyperlink r:id="r13">
        <w:r>
          <w:rPr>
            <w:rFonts w:ascii="Times New Roman" w:hAnsi="Times New Roman"/>
            <w:color w:val="006fc4"/>
            <w:sz w:val="20"/>
          </w:rPr>
          <w:t>Rule 8(e)</w:t>
        </w:r>
      </w:hyperlink>
      <w:r>
        <w:rPr>
          <w:rFonts w:ascii="Times New Roman" w:hAnsi="Times New Roman"/>
          <w:color w:val="1f1f1f"/>
          <w:sz w:val="20"/>
        </w:rPr>
        <w:t xml:space="preserve"> does not meaningfully contribute to that discussion.</w:t>
      </w:r>
    </w:p>
    <w:bookmarkEnd w:id="201"/>
    <w:p>
      <w:pPr>
        <w:spacing w:before="0" w:after="0" w:line="275" w:lineRule="atLeast"/>
        <w:jc w:val="both"/>
      </w:pPr>
      <w:r>
        <w:rPr>
          <w:rFonts w:ascii="Times New Roman" w:hAnsi="Times New Roman"/>
          <w:color w:val="1f1f1f"/>
          <w:sz w:val="20"/>
        </w:rPr>
        <w:t> </w:t>
      </w:r>
    </w:p>
    <w:bookmarkStart w:id="206" w:name="co_g_ID0EXYAG_1"/>
    <w:p>
      <w:pPr>
        <w:spacing w:before="0" w:after="0" w:line="275" w:lineRule="atLeast"/>
        <w:jc w:val="both"/>
      </w:pPr>
      <w:r>
        <w:rPr>
          <w:rFonts w:ascii="Times New Roman" w:hAnsi="Times New Roman"/>
          <w:color w:val="1f1f1f"/>
          <w:sz w:val="20"/>
        </w:rPr>
        <w:t>There are also cases in which the statements are simply not inconsistent. For example, in Federal Deposit Insurance Corp. v. Panelfab Puerto Rico, Inc.,</w:t>
      </w:r>
      <w:bookmarkStart w:id="207" w:name="co_fnRef_F137110408358_ID0EAZAG_1"/>
      <w:hyperlink w:anchor="co_footnote_F137110408358_1">
        <w:r>
          <w:rPr>
            <w:rFonts w:ascii="Times New Roman" w:hAnsi="Times New Roman"/>
            <w:color w:val="006fc4"/>
            <w:sz w:val="16"/>
            <w:vertAlign w:val="superscript"/>
          </w:rPr>
          <w:t>137</w:t>
        </w:r>
      </w:hyperlink>
      <w:bookmarkEnd w:id="207"/>
      <w:r>
        <w:rPr>
          <w:rFonts w:ascii="Times New Roman" w:hAnsi="Times New Roman"/>
          <w:color w:val="1f1f1f"/>
          <w:sz w:val="20"/>
        </w:rPr>
        <w:t xml:space="preserve"> the FDIC argued that a guaranty was valid and then said that a cancellation option within the guaranty was not.</w:t>
      </w:r>
      <w:bookmarkStart w:id="208" w:name="co_fnRef_F138110408358_ID0EFZAG_1"/>
      <w:hyperlink w:anchor="co_footnote_F138110408358_1">
        <w:r>
          <w:rPr>
            <w:rFonts w:ascii="Times New Roman" w:hAnsi="Times New Roman"/>
            <w:color w:val="006fc4"/>
            <w:sz w:val="16"/>
            <w:vertAlign w:val="superscript"/>
          </w:rPr>
          <w:t>138</w:t>
        </w:r>
      </w:hyperlink>
      <w:bookmarkEnd w:id="208"/>
      <w:r>
        <w:rPr>
          <w:rFonts w:ascii="Times New Roman" w:hAnsi="Times New Roman"/>
          <w:color w:val="1f1f1f"/>
          <w:sz w:val="20"/>
        </w:rPr>
        <w:t xml:space="preserve"> The court apparently believed that the cited reason would make the entire guaranty invalid.</w:t>
      </w:r>
      <w:bookmarkStart w:id="209" w:name="co_fnRef_F139110408358_ID0EKZAG_1"/>
      <w:hyperlink w:anchor="co_footnote_F139110408358_1">
        <w:r>
          <w:rPr>
            <w:rFonts w:ascii="Times New Roman" w:hAnsi="Times New Roman"/>
            <w:color w:val="006fc4"/>
            <w:sz w:val="16"/>
            <w:vertAlign w:val="superscript"/>
          </w:rPr>
          <w:t>139</w:t>
        </w:r>
      </w:hyperlink>
      <w:bookmarkEnd w:id="209"/>
      <w:r>
        <w:rPr>
          <w:rFonts w:ascii="Times New Roman" w:hAnsi="Times New Roman"/>
          <w:color w:val="1f1f1f"/>
          <w:sz w:val="20"/>
        </w:rPr>
        <w:t xml:space="preserve"> In fact it did not, as the guaranty could have been valid without the cancellation option.</w:t>
      </w:r>
      <w:bookmarkStart w:id="210" w:name="co_fnRef_F140110408358_ID0EPZAG_1"/>
      <w:hyperlink w:anchor="co_footnote_F140110408358_1">
        <w:r>
          <w:rPr>
            <w:rFonts w:ascii="Times New Roman" w:hAnsi="Times New Roman"/>
            <w:color w:val="006fc4"/>
            <w:sz w:val="16"/>
            <w:vertAlign w:val="superscript"/>
          </w:rPr>
          <w:t>140</w:t>
        </w:r>
      </w:hyperlink>
      <w:bookmarkEnd w:id="210"/>
      <w:r>
        <w:rPr>
          <w:rFonts w:ascii="Times New Roman" w:hAnsi="Times New Roman"/>
          <w:color w:val="1f1f1f"/>
          <w:sz w:val="20"/>
        </w:rPr>
        <w:t xml:space="preserve"> The proposed test would avoid such improper application of the doctrine. A second, broader approach would focus not just on whether treatment of the prior statement as a judicial admission would preclude the relief now sought, but would also consider the emphasis in judicial admissions doctrine on efficiency and expense reduction. A classic example is the use of requests for admission for document authentication.</w:t>
      </w:r>
      <w:bookmarkStart w:id="211" w:name="co_fnRef_F141110408358_ID0E1ZAG_1"/>
      <w:hyperlink w:anchor="co_footnote_F141110408358_1">
        <w:r>
          <w:rPr>
            <w:rFonts w:ascii="Times New Roman" w:hAnsi="Times New Roman"/>
            <w:color w:val="006fc4"/>
            <w:sz w:val="16"/>
            <w:vertAlign w:val="superscript"/>
          </w:rPr>
          <w:t>141</w:t>
        </w:r>
      </w:hyperlink>
      <w:bookmarkEnd w:id="211"/>
      <w:r>
        <w:rPr>
          <w:rFonts w:ascii="Times New Roman" w:hAnsi="Times New Roman"/>
          <w:color w:val="1f1f1f"/>
          <w:sz w:val="20"/>
        </w:rPr>
        <w:t xml:space="preserve"> Requests for admissions are a cost-effective way to achieve authentication of documents that might otherwise require many expensive depositions. While document authentication is an unusual target for judicial estoppel, the concerns at work illustrate the concept behind this approach. The establishment of a relevant fact could have significant consequences in a case in terms of time and money. Since an important policy behind the doctrine of admissions is to remove from dispute matters that are inefficient and wasteful to dispute, it would seem appropriate to use judicial estoppel for this purpose as well.</w:t>
      </w:r>
      <w:bookmarkStart w:id="212" w:name="co_fnRef_F142110408358_ID0EH1AG_1"/>
      <w:hyperlink w:anchor="co_footnote_F142110408358_1">
        <w:r>
          <w:rPr>
            <w:rFonts w:ascii="Times New Roman" w:hAnsi="Times New Roman"/>
            <w:color w:val="006fc4"/>
            <w:sz w:val="16"/>
            <w:vertAlign w:val="superscript"/>
          </w:rPr>
          <w:t>142</w:t>
        </w:r>
      </w:hyperlink>
      <w:bookmarkEnd w:id="212"/>
    </w:p>
    <w:bookmarkEnd w:id="206"/>
    <w:p>
      <w:pPr>
        <w:spacing w:before="0" w:after="0" w:line="275" w:lineRule="atLeast"/>
        <w:jc w:val="both"/>
      </w:pPr>
      <w:r>
        <w:rPr>
          <w:rFonts w:ascii="Times New Roman" w:hAnsi="Times New Roman"/>
          <w:color w:val="1f1f1f"/>
          <w:sz w:val="20"/>
        </w:rPr>
        <w:t> </w:t>
      </w:r>
    </w:p>
    <w:bookmarkStart w:id="213" w:name="co_g_ID0EO1AG_1"/>
    <w:p>
      <w:pPr>
        <w:spacing w:before="0" w:after="0" w:line="275" w:lineRule="atLeast"/>
        <w:jc w:val="both"/>
      </w:pPr>
      <w:r>
        <w:rPr>
          <w:rFonts w:ascii="Times New Roman" w:hAnsi="Times New Roman"/>
          <w:color w:val="1f1f1f"/>
          <w:sz w:val="20"/>
        </w:rPr>
        <w:t xml:space="preserve">For both approaches, an additional level of scrutiny can be added by asking if the present statement would bar the relief sought or the </w:t>
      </w:r>
      <w:bookmarkStart w:id="214" w:name="co_pp_sp_100385_23_1"/>
      <w:r>
        <w:rPr>
          <w:rFonts w:ascii="Times New Roman" w:hAnsi="Times New Roman"/>
          <w:b/>
          <w:color w:val="000000"/>
          <w:sz w:val="20"/>
        </w:rPr>
        <w:t>*23</w:t>
      </w:r>
      <w:bookmarkEnd w:id="214"/>
      <w:r>
        <w:rPr>
          <w:rFonts w:ascii="Times New Roman" w:hAnsi="Times New Roman"/>
          <w:color w:val="1f1f1f"/>
          <w:sz w:val="20"/>
        </w:rPr>
        <w:t xml:space="preserve"> establishment of a key fact in the prior action. While this extra analysis may not be helpful in all cases, it would prevent the common problem of seeking to apply an estoppel against proper refinement of an argument from one case to the next.</w:t>
      </w:r>
      <w:bookmarkStart w:id="215" w:name="co_fnRef_F143110408358_ID0E51AG_1"/>
      <w:hyperlink w:anchor="co_footnote_F143110408358_1">
        <w:r>
          <w:rPr>
            <w:rFonts w:ascii="Times New Roman" w:hAnsi="Times New Roman"/>
            <w:color w:val="006fc4"/>
            <w:sz w:val="16"/>
            <w:vertAlign w:val="superscript"/>
          </w:rPr>
          <w:t>143</w:t>
        </w:r>
      </w:hyperlink>
      <w:bookmarkEnd w:id="215"/>
      <w:r>
        <w:rPr>
          <w:rFonts w:ascii="Times New Roman" w:hAnsi="Times New Roman"/>
          <w:color w:val="1f1f1f"/>
          <w:sz w:val="20"/>
        </w:rPr>
        <w:t xml:space="preserve"> It could also be a helpful addition to the analysis in situations involving party realignments or other confusing complexities, since the first case may present a cleaner framework for analysis.</w:t>
      </w:r>
    </w:p>
    <w:bookmarkEnd w:id="213"/>
    <w:p>
      <w:pPr>
        <w:spacing w:before="0" w:after="0" w:line="275" w:lineRule="atLeast"/>
        <w:jc w:val="both"/>
      </w:pPr>
      <w:r>
        <w:rPr>
          <w:rFonts w:ascii="Times New Roman" w:hAnsi="Times New Roman"/>
          <w:color w:val="1f1f1f"/>
          <w:sz w:val="20"/>
        </w:rPr>
        <w:t> </w:t>
      </w:r>
    </w:p>
    <w:bookmarkStart w:id="216" w:name="co_g_ID0EH2AG_1"/>
    <w:p>
      <w:pPr>
        <w:spacing w:before="0" w:after="0" w:line="275" w:lineRule="atLeast"/>
        <w:jc w:val="both"/>
      </w:pPr>
      <w:r>
        <w:rPr>
          <w:rFonts w:ascii="Times New Roman" w:hAnsi="Times New Roman"/>
          <w:color w:val="1f1f1f"/>
          <w:sz w:val="20"/>
        </w:rPr>
        <w:t>This general approach is consistent with what some courts already do, albeit by intuition rather than reference to a clearly established standard.</w:t>
      </w:r>
      <w:bookmarkStart w:id="217" w:name="co_fnRef_F144110408358_ID0EP2AG_1"/>
      <w:hyperlink w:anchor="co_footnote_F144110408358_1">
        <w:r>
          <w:rPr>
            <w:rFonts w:ascii="Times New Roman" w:hAnsi="Times New Roman"/>
            <w:color w:val="006fc4"/>
            <w:sz w:val="16"/>
            <w:vertAlign w:val="superscript"/>
          </w:rPr>
          <w:t>144</w:t>
        </w:r>
      </w:hyperlink>
      <w:bookmarkEnd w:id="217"/>
      <w:r>
        <w:rPr>
          <w:rFonts w:ascii="Times New Roman" w:hAnsi="Times New Roman"/>
          <w:color w:val="1f1f1f"/>
          <w:sz w:val="20"/>
        </w:rPr>
        <w:t xml:space="preserve"> For example, in Lowery v. Stovall,</w:t>
      </w:r>
      <w:bookmarkStart w:id="218" w:name="co_fnRef_F145110408358_ID0ES2AG_1"/>
      <w:hyperlink w:anchor="co_footnote_F145110408358_1">
        <w:r>
          <w:rPr>
            <w:rFonts w:ascii="Times New Roman" w:hAnsi="Times New Roman"/>
            <w:color w:val="006fc4"/>
            <w:sz w:val="16"/>
            <w:vertAlign w:val="superscript"/>
          </w:rPr>
          <w:t>145</w:t>
        </w:r>
      </w:hyperlink>
      <w:bookmarkEnd w:id="218"/>
      <w:r>
        <w:rPr>
          <w:rFonts w:ascii="Times New Roman" w:hAnsi="Times New Roman"/>
          <w:color w:val="1f1f1f"/>
          <w:sz w:val="20"/>
        </w:rPr>
        <w:t xml:space="preserve"> the parties disputed whether one party's characterization of an alleged attack squared with admissions the party made at a guilty plea hearing on charges arising out of the attack.</w:t>
      </w:r>
      <w:bookmarkStart w:id="219" w:name="co_fnRef_F146110408358_ID0EX2AG_1"/>
      <w:hyperlink w:anchor="co_footnote_F146110408358_1">
        <w:r>
          <w:rPr>
            <w:rFonts w:ascii="Times New Roman" w:hAnsi="Times New Roman"/>
            <w:color w:val="006fc4"/>
            <w:sz w:val="16"/>
            <w:vertAlign w:val="superscript"/>
          </w:rPr>
          <w:t>146</w:t>
        </w:r>
      </w:hyperlink>
      <w:bookmarkEnd w:id="219"/>
      <w:r>
        <w:rPr>
          <w:rFonts w:ascii="Times New Roman" w:hAnsi="Times New Roman"/>
          <w:color w:val="1f1f1f"/>
          <w:sz w:val="20"/>
        </w:rPr>
        <w:t xml:space="preserve"> The court held that the two versions could not both be true and applied judicial estoppel.</w:t>
      </w:r>
      <w:bookmarkStart w:id="220" w:name="co_fnRef_F147110408358_ID0E32AG_1"/>
      <w:hyperlink w:anchor="co_footnote_F147110408358_1">
        <w:r>
          <w:rPr>
            <w:rFonts w:ascii="Times New Roman" w:hAnsi="Times New Roman"/>
            <w:color w:val="006fc4"/>
            <w:sz w:val="16"/>
            <w:vertAlign w:val="superscript"/>
          </w:rPr>
          <w:t>147</w:t>
        </w:r>
      </w:hyperlink>
      <w:bookmarkEnd w:id="220"/>
      <w:r>
        <w:rPr>
          <w:rFonts w:ascii="Times New Roman" w:hAnsi="Times New Roman"/>
          <w:color w:val="1f1f1f"/>
          <w:sz w:val="20"/>
        </w:rPr>
        <w:t xml:space="preserve"> Other courts follow a similar process in deciding not to apply the doctrine.</w:t>
      </w:r>
      <w:bookmarkStart w:id="221" w:name="co_fnRef_F148110408358_ID0EB3AG_1"/>
      <w:hyperlink w:anchor="co_footnote_F148110408358_1">
        <w:r>
          <w:rPr>
            <w:rFonts w:ascii="Times New Roman" w:hAnsi="Times New Roman"/>
            <w:color w:val="006fc4"/>
            <w:sz w:val="16"/>
            <w:vertAlign w:val="superscript"/>
          </w:rPr>
          <w:t>148</w:t>
        </w:r>
      </w:hyperlink>
      <w:bookmarkEnd w:id="221"/>
      <w:r>
        <w:rPr>
          <w:rFonts w:ascii="Times New Roman" w:hAnsi="Times New Roman"/>
          <w:color w:val="1f1f1f"/>
          <w:sz w:val="20"/>
        </w:rPr>
        <w:t xml:space="preserve"> This test could make explicit the process that is implicit in the strong reasoning of these decisions and lead to other good analysis in this area.</w:t>
      </w:r>
    </w:p>
    <w:bookmarkEnd w:id="216"/>
    <w:p>
      <w:pPr>
        <w:spacing w:before="0" w:after="0" w:line="275" w:lineRule="atLeast"/>
        <w:jc w:val="both"/>
      </w:pPr>
      <w:r>
        <w:rPr>
          <w:rFonts w:ascii="Times New Roman" w:hAnsi="Times New Roman"/>
          <w:color w:val="1f1f1f"/>
          <w:sz w:val="20"/>
        </w:rPr>
        <w:t> </w:t>
      </w:r>
    </w:p>
    <w:bookmarkStart w:id="222" w:name="co_g_ID0EK3AG_1"/>
    <w:p>
      <w:pPr>
        <w:spacing w:before="0" w:after="0" w:line="275" w:lineRule="atLeast"/>
        <w:jc w:val="both"/>
      </w:pPr>
      <w:r>
        <w:rPr>
          <w:rFonts w:ascii="Times New Roman" w:hAnsi="Times New Roman"/>
          <w:color w:val="1f1f1f"/>
          <w:sz w:val="20"/>
        </w:rPr>
        <w:t xml:space="preserve">One of the greatest benefits of this standard is simply that it is a standard. Its uniformity could help eliminate a common criticism of judicial estoppel's substantial variances from jurisdiction to jurisdiction. </w:t>
      </w:r>
      <w:bookmarkStart w:id="223" w:name="co_pp_sp_100385_24_1"/>
      <w:r>
        <w:rPr>
          <w:rFonts w:ascii="Times New Roman" w:hAnsi="Times New Roman"/>
          <w:b/>
          <w:color w:val="000000"/>
          <w:sz w:val="20"/>
        </w:rPr>
        <w:t>*24</w:t>
      </w:r>
      <w:bookmarkEnd w:id="223"/>
      <w:r>
        <w:rPr>
          <w:rFonts w:ascii="Times New Roman" w:hAnsi="Times New Roman"/>
          <w:color w:val="1f1f1f"/>
          <w:sz w:val="20"/>
        </w:rPr>
        <w:t xml:space="preserve"> </w:t>
      </w:r>
      <w:bookmarkStart w:id="224" w:name="co_fnRef_F149110408358_ID0EY3AG_1"/>
      <w:hyperlink w:anchor="co_footnote_F149110408358_1">
        <w:r>
          <w:rPr>
            <w:rFonts w:ascii="Times New Roman" w:hAnsi="Times New Roman"/>
            <w:color w:val="006fc4"/>
            <w:sz w:val="16"/>
            <w:vertAlign w:val="superscript"/>
          </w:rPr>
          <w:t>149</w:t>
        </w:r>
      </w:hyperlink>
      <w:bookmarkEnd w:id="224"/>
      <w:r>
        <w:rPr>
          <w:rFonts w:ascii="Times New Roman" w:hAnsi="Times New Roman"/>
          <w:color w:val="1f1f1f"/>
          <w:sz w:val="20"/>
        </w:rPr>
        <w:t xml:space="preserve"> It could also help in resolving, or perhaps even mooting, the ongoing debate about choice of law for judicial estoppel in federal diversity cases,</w:t>
      </w:r>
      <w:bookmarkStart w:id="225" w:name="co_fnRef_F150110408358_ID0E23AG_1"/>
      <w:hyperlink w:anchor="co_footnote_F150110408358_1">
        <w:r>
          <w:rPr>
            <w:rFonts w:ascii="Times New Roman" w:hAnsi="Times New Roman"/>
            <w:color w:val="006fc4"/>
            <w:sz w:val="16"/>
            <w:vertAlign w:val="superscript"/>
          </w:rPr>
          <w:t>150</w:t>
        </w:r>
      </w:hyperlink>
      <w:bookmarkEnd w:id="225"/>
      <w:r>
        <w:rPr>
          <w:rFonts w:ascii="Times New Roman" w:hAnsi="Times New Roman"/>
          <w:color w:val="1f1f1f"/>
          <w:sz w:val="20"/>
        </w:rPr>
        <w:t xml:space="preserve"> since there is likely to be more agreement on points of judicial admissions doctrine between the state and federal systems than about judicial estoppel.</w:t>
      </w:r>
      <w:bookmarkStart w:id="226" w:name="co_fnRef_F151110408358_ID0EA4AG_1"/>
      <w:hyperlink w:anchor="co_footnote_F151110408358_1">
        <w:r>
          <w:rPr>
            <w:rFonts w:ascii="Times New Roman" w:hAnsi="Times New Roman"/>
            <w:color w:val="006fc4"/>
            <w:sz w:val="16"/>
            <w:vertAlign w:val="superscript"/>
          </w:rPr>
          <w:t>151</w:t>
        </w:r>
      </w:hyperlink>
      <w:bookmarkEnd w:id="226"/>
      <w:r>
        <w:rPr>
          <w:rFonts w:ascii="Times New Roman" w:hAnsi="Times New Roman"/>
          <w:color w:val="1f1f1f"/>
          <w:sz w:val="20"/>
        </w:rPr>
        <w:t xml:space="preserve"> Most basically, this approach meshes well with the policies behind the doctrine. The doctrine is motivated by concerns about judicial integrity and legitimacy.</w:t>
      </w:r>
      <w:bookmarkStart w:id="227" w:name="co_fnRef_F152110408358_ID0EI4AG_1"/>
      <w:hyperlink w:anchor="co_footnote_F152110408358_1">
        <w:r>
          <w:rPr>
            <w:rFonts w:ascii="Times New Roman" w:hAnsi="Times New Roman"/>
            <w:color w:val="006fc4"/>
            <w:sz w:val="16"/>
            <w:vertAlign w:val="superscript"/>
          </w:rPr>
          <w:t>152</w:t>
        </w:r>
      </w:hyperlink>
      <w:bookmarkEnd w:id="227"/>
      <w:r>
        <w:rPr>
          <w:rFonts w:ascii="Times New Roman" w:hAnsi="Times New Roman"/>
          <w:color w:val="1f1f1f"/>
          <w:sz w:val="20"/>
        </w:rPr>
        <w:t xml:space="preserve"> A clear analytical framework works to enhance legitimacy, particularly when the alternative is widely criticized as “ad hoc.”</w:t>
      </w:r>
      <w:bookmarkStart w:id="228" w:name="co_fnRef_F153110408358_ID0EM4AG_1"/>
      <w:hyperlink w:anchor="co_footnote_F153110408358_1">
        <w:r>
          <w:rPr>
            <w:rFonts w:ascii="Times New Roman" w:hAnsi="Times New Roman"/>
            <w:color w:val="006fc4"/>
            <w:sz w:val="16"/>
            <w:vertAlign w:val="superscript"/>
          </w:rPr>
          <w:t>153</w:t>
        </w:r>
      </w:hyperlink>
      <w:bookmarkEnd w:id="228"/>
    </w:p>
    <w:bookmarkEnd w:id="222"/>
    <w:p>
      <w:pPr>
        <w:spacing w:before="0" w:after="0" w:line="275" w:lineRule="atLeast"/>
        <w:jc w:val="both"/>
      </w:pPr>
      <w:r>
        <w:rPr>
          <w:rFonts w:ascii="Times New Roman" w:hAnsi="Times New Roman"/>
          <w:color w:val="1f1f1f"/>
          <w:sz w:val="20"/>
        </w:rPr>
        <w:t> </w:t>
      </w:r>
    </w:p>
    <w:bookmarkStart w:id="229" w:name="co_g_ID0ET4AG_1"/>
    <w:p>
      <w:pPr>
        <w:spacing w:before="0" w:after="0" w:line="275" w:lineRule="atLeast"/>
        <w:jc w:val="both"/>
      </w:pPr>
      <w:r>
        <w:rPr>
          <w:rFonts w:ascii="Times New Roman" w:hAnsi="Times New Roman"/>
          <w:color w:val="1f1f1f"/>
          <w:sz w:val="20"/>
        </w:rPr>
        <w:t>As a final point, under any formulation of the doctrine it is important to remember its equitable heritage as a check on the potential for injustice that can result from an excessively strict application.</w:t>
      </w:r>
      <w:bookmarkStart w:id="230" w:name="co_fnRef_F154110408358_ID0E24AG_1"/>
      <w:hyperlink w:anchor="co_footnote_F154110408358_1">
        <w:r>
          <w:rPr>
            <w:rFonts w:ascii="Times New Roman" w:hAnsi="Times New Roman"/>
            <w:color w:val="006fc4"/>
            <w:sz w:val="16"/>
            <w:vertAlign w:val="superscript"/>
          </w:rPr>
          <w:t>154</w:t>
        </w:r>
      </w:hyperlink>
      <w:bookmarkEnd w:id="230"/>
      <w:r>
        <w:rPr>
          <w:rFonts w:ascii="Times New Roman" w:hAnsi="Times New Roman"/>
          <w:color w:val="1f1f1f"/>
          <w:sz w:val="20"/>
        </w:rPr>
        <w:t xml:space="preserve"> At the same time, courts have inherent power to police the conduct of the lawyers and parties appearing before them,</w:t>
      </w:r>
      <w:bookmarkStart w:id="231" w:name="co_fnRef_F155110408358_ID0E54AG_1"/>
      <w:hyperlink w:anchor="co_footnote_F155110408358_1">
        <w:r>
          <w:rPr>
            <w:rFonts w:ascii="Times New Roman" w:hAnsi="Times New Roman"/>
            <w:color w:val="006fc4"/>
            <w:sz w:val="16"/>
            <w:vertAlign w:val="superscript"/>
          </w:rPr>
          <w:t>155</w:t>
        </w:r>
      </w:hyperlink>
      <w:bookmarkEnd w:id="231"/>
      <w:r>
        <w:rPr>
          <w:rFonts w:ascii="Times New Roman" w:hAnsi="Times New Roman"/>
          <w:color w:val="1f1f1f"/>
          <w:sz w:val="20"/>
        </w:rPr>
        <w:t xml:space="preserve"> and have flexibility to sanction behavior that they believe to amount to “playing fast and loose” with the justice system. This test is certainly not intended to unfairly constrain either source of judicial flexibility in the application of the doctrine, but should rather be viewed as a guideline for effective use of a substantial judicial power.</w:t>
      </w:r>
    </w:p>
    <w:bookmarkEnd w:id="229"/>
    <w:p>
      <w:pPr>
        <w:spacing w:before="0" w:after="0" w:line="275" w:lineRule="atLeast"/>
        <w:jc w:val="both"/>
      </w:pPr>
      <w:r>
        <w:rPr>
          <w:rFonts w:ascii="Times New Roman" w:hAnsi="Times New Roman"/>
          <w:color w:val="1f1f1f"/>
          <w:sz w:val="20"/>
        </w:rPr>
        <w:t> </w:t>
      </w:r>
    </w:p>
    <w:bookmarkStart w:id="232" w:name="co_g_ID0EK5AG_1"/>
    <w:p>
      <w:pPr>
        <w:spacing w:before="200" w:after="0" w:line="240" w:lineRule="auto"/>
      </w:pPr>
      <w:bookmarkStart w:id="233" w:name="co_pp_sp_100385_25_1"/>
      <w:r>
        <w:rPr>
          <w:rFonts w:ascii="Times New Roman" w:hAnsi="Times New Roman"/>
          <w:b/>
          <w:color w:val="000000"/>
          <w:sz w:val="20"/>
        </w:rPr>
        <w:t>*25</w:t>
      </w:r>
      <w:bookmarkEnd w:id="233"/>
      <w:r>
        <w:rPr>
          <w:rFonts w:ascii="Times New Roman" w:hAnsi="Times New Roman"/>
          <w:b/>
          <w:color w:val="1f1f1f"/>
          <w:sz w:val="20"/>
        </w:rPr>
        <w:t xml:space="preserve"> IV. Conclusion</w:t>
      </w:r>
    </w:p>
    <w:bookmarkEnd w:id="232"/>
    <w:bookmarkStart w:id="234" w:name="co_g_ID0EY5AG_1"/>
    <w:p>
      <w:pPr>
        <w:spacing w:before="200" w:after="0" w:line="275" w:lineRule="atLeast"/>
        <w:jc w:val="both"/>
      </w:pPr>
      <w:r>
        <w:rPr>
          <w:rFonts w:ascii="Times New Roman" w:hAnsi="Times New Roman"/>
          <w:color w:val="1f1f1f"/>
          <w:sz w:val="20"/>
        </w:rPr>
        <w:t>This Article points out the similar effect of the doctrines of judicial estoppel and judicial admissions. A judicial admission prevents a litigant from controverting that admission in a lawsuit. Judicial estoppel prevents a litigant from controverting in one lawsuit a position taken in a prior lawsuit. Because the doctrines have similar effects, this Article proposes that the doctrine of judicial estoppel could benefit by expressly recognizing those similarities.</w:t>
      </w:r>
    </w:p>
    <w:bookmarkEnd w:id="234"/>
    <w:p>
      <w:pPr>
        <w:spacing w:before="0" w:after="0" w:line="275" w:lineRule="atLeast"/>
        <w:jc w:val="both"/>
      </w:pPr>
      <w:r>
        <w:rPr>
          <w:rFonts w:ascii="Times New Roman" w:hAnsi="Times New Roman"/>
          <w:color w:val="1f1f1f"/>
          <w:sz w:val="20"/>
        </w:rPr>
        <w:t> </w:t>
      </w:r>
    </w:p>
    <w:bookmarkStart w:id="235" w:name="co_g_ID0EN6AG_1"/>
    <w:p>
      <w:pPr>
        <w:spacing w:before="0" w:after="0" w:line="275" w:lineRule="atLeast"/>
        <w:jc w:val="both"/>
      </w:pPr>
      <w:r>
        <w:rPr>
          <w:rFonts w:ascii="Times New Roman" w:hAnsi="Times New Roman"/>
          <w:color w:val="1f1f1f"/>
          <w:sz w:val="20"/>
        </w:rPr>
        <w:t>First, a focus on judicial admission doctrine can help judicial estoppel identify prior statements that should trigger an estoppel. A court can ask if the prior statement would qualify as a judicial admission, or, if a position is at issue, whether there are judicial admissions that underpin that position. If there are not, there is a serious question whether statements or a position too equivocal to work an estoppel in the prior action should work an estoppel in a subsequent action.</w:t>
      </w:r>
      <w:bookmarkStart w:id="236" w:name="co_fnRef_F156110408358_ID0E16AG_1"/>
      <w:hyperlink w:anchor="co_footnote_F156110408358_1">
        <w:r>
          <w:rPr>
            <w:rFonts w:ascii="Times New Roman" w:hAnsi="Times New Roman"/>
            <w:color w:val="006fc4"/>
            <w:sz w:val="16"/>
            <w:vertAlign w:val="superscript"/>
          </w:rPr>
          <w:t>156</w:t>
        </w:r>
      </w:hyperlink>
      <w:bookmarkEnd w:id="236"/>
    </w:p>
    <w:bookmarkEnd w:id="235"/>
    <w:p>
      <w:pPr>
        <w:spacing w:before="0" w:after="0" w:line="275" w:lineRule="atLeast"/>
        <w:jc w:val="both"/>
      </w:pPr>
      <w:r>
        <w:rPr>
          <w:rFonts w:ascii="Times New Roman" w:hAnsi="Times New Roman"/>
          <w:color w:val="1f1f1f"/>
          <w:sz w:val="20"/>
        </w:rPr>
        <w:t> </w:t>
      </w:r>
    </w:p>
    <w:bookmarkStart w:id="237" w:name="co_g_ID0EBABG_1"/>
    <w:p>
      <w:pPr>
        <w:spacing w:before="0" w:after="0" w:line="275" w:lineRule="atLeast"/>
        <w:jc w:val="both"/>
      </w:pPr>
      <w:r>
        <w:rPr>
          <w:rFonts w:ascii="Times New Roman" w:hAnsi="Times New Roman"/>
          <w:color w:val="1f1f1f"/>
          <w:sz w:val="20"/>
        </w:rPr>
        <w:t>This Article further proposes that judicial estoppel doctrine can look to judicial admissions doctrine for guidance as to what level of inconsistency should work an estoppel. If the question is whether a prior statement should be given the effect of a judicial admission in the action at hand, the court should look at the consequences of giving that effect to a statement. If such treatment does not preclude the relief sought by the party, or the establishment of a significant fact, then there is a question whether the alleged inconsistency justifies the application of a judicial estoppel. It could also be helpful in some cases to ask the additional question of what the effect would be of treating the new statement as a judicial admission in the old action. Ultimately, the real benefit of the test may be to restore some order to an area of law often criticized for confusing inconsistencies. Further analysis could then proceed with a clear focus on the policy goals of the doctrine rather than on fears about misapplication of one of the many current versions of the doctrine.</w:t>
      </w:r>
    </w:p>
    <w:bookmarkEnd w:id="237"/>
    <w:p>
      <w:pPr>
        <w:spacing w:before="0" w:after="0" w:line="275" w:lineRule="atLeast"/>
        <w:jc w:val="both"/>
      </w:pPr>
      <w:r>
        <w:rPr>
          <w:rFonts w:ascii="Times New Roman" w:hAnsi="Times New Roman"/>
          <w:color w:val="1f1f1f"/>
          <w:sz w:val="20"/>
        </w:rPr>
        <w:t> </w:t>
      </w:r>
    </w:p>
    <w:p>
      <w:pPr>
        <w:spacing w:before="0" w:after="0" w:line="240" w:lineRule="auto"/>
        <w:rPr>
          <w:sz w:val="18"/>
        </w:rPr>
      </w:pPr>
    </w:p>
    <w:tbl>
      <w:tblPr>
        <w:tblLayout w:type="fixed"/>
      </w:tblPr>
      <w:tblGrid>
        <w:gridCol w:w="600"/>
        <w:gridCol w:w="9450"/>
      </w:tblGrid>
      <w:tr>
        <w:tblPrEx/>
        <w:trPr/>
        <w:tc>
          <w:tcPr>
            <w:hMerge w:val="restart"/>
            <w:tcMar>
              <w:top w:w="200" w:type="dxa"/>
            </w:tcMar>
            <w:vAlign w:val="top"/>
          </w:tcPr>
          <w:p>
            <w:pPr>
              <w:spacing w:before="0" w:after="0" w:line="275" w:lineRule="atLeast"/>
            </w:pPr>
            <w:r>
              <w:rPr>
                <w:rFonts w:ascii="Times New Roman" w:hAnsi="Times New Roman"/>
                <w:color w:val="1f1f1f"/>
                <w:sz w:val="20"/>
              </w:rPr>
              <w:t>Footnotes</w:t>
            </w:r>
          </w:p>
        </w:tc>
        <w:tc>
          <w:tcPr>
            <w:hMerge w:val="continue"/>
            <w:tcMar>
              <w:top w:w="200" w:type="dxa"/>
            </w:tcMar>
            <w:vAlign w:val="top"/>
          </w:tcPr>
          <w:p>
            <w:pPr>
              <w:spacing w:before="0" w:after="0" w:line="240" w:lineRule="auto"/>
              <w:rPr>
                <w:rFonts w:ascii="Times New Roman" w:hAnsi="Times New Roman"/>
                <w:color w:val="1f1f1f"/>
                <w:sz w:val="20"/>
              </w:rPr>
            </w:pPr>
          </w:p>
        </w:tc>
      </w:tr>
      <w:tr>
        <w:tblPrEx/>
        <w:trPr/>
        <w:tc>
          <w:tcPr>
            <w:vAlign w:val="top"/>
          </w:tcPr>
          <w:p>
            <w:pPr>
              <w:spacing w:before="0" w:after="0" w:line="275" w:lineRule="atLeast"/>
            </w:pPr>
            <w:bookmarkStart w:id="238" w:name="co_footnote_Fa1110408358_1"/>
            <w:hyperlink w:anchor="co_fnRef_Fa1110408358_ID0EDBAE_1">
              <w:r>
                <w:rPr>
                  <w:rFonts w:ascii="Times New Roman" w:hAnsi="Times New Roman"/>
                  <w:color w:val="006fc4"/>
                  <w:sz w:val="18"/>
                  <w:vertAlign w:val="superscript"/>
                </w:rPr>
                <w:t>a1</w:t>
              </w:r>
            </w:hyperlink>
            <w:bookmarkEnd w:id="238"/>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Associate, Carrington, Coleman, Sloman &amp; Blumenthal, L.L.P., Dallas, Texas. A.B. 1990, Harvard College; J.D. 1993, The University of Texas School of Law.</w:t>
            </w:r>
          </w:p>
        </w:tc>
      </w:tr>
      <w:tr>
        <w:tblPrEx/>
        <w:trPr/>
        <w:tc>
          <w:tcPr>
            <w:vAlign w:val="top"/>
          </w:tcPr>
          <w:p>
            <w:pPr>
              <w:spacing w:before="0" w:after="0" w:line="275" w:lineRule="atLeast"/>
            </w:pPr>
            <w:bookmarkStart w:id="239" w:name="co_footnote_F1110408358_1"/>
            <w:hyperlink w:anchor="co_fnRef_F1110408358_ID0E1KAE_1">
              <w:r>
                <w:rPr>
                  <w:rFonts w:ascii="Times New Roman" w:hAnsi="Times New Roman"/>
                  <w:color w:val="006fc4"/>
                  <w:sz w:val="18"/>
                  <w:vertAlign w:val="superscript"/>
                </w:rPr>
                <w:t>1</w:t>
              </w:r>
            </w:hyperlink>
            <w:bookmarkEnd w:id="239"/>
          </w:p>
        </w:tc>
        <w:tc>
          <w:tcPr>
            <w:tcMar>
              <w:top w:w="90" w:type="dxa"/>
              <w:bottom w:w="90" w:type="dxa"/>
            </w:tcMar>
            <w:vAlign w:val="top"/>
          </w:tcPr>
          <w:p>
            <w:pPr>
              <w:pBdr>
                <w:bottom w:val="none" w:space="8"/>
              </w:pBdr>
              <w:spacing w:before="0" w:after="0" w:line="255" w:lineRule="atLeast"/>
              <w:jc w:val="both"/>
            </w:pPr>
            <w:hyperlink r:id="r14">
              <w:r>
                <w:rPr>
                  <w:rFonts w:ascii="Times New Roman" w:hAnsi="Times New Roman"/>
                  <w:color w:val="006fc4"/>
                  <w:sz w:val="18"/>
                </w:rPr>
                <w:t>Edwards v. Aetna Life Ins. Co., 690 F.2d 595, 599 (6th Cir. 1982)</w:t>
              </w:r>
            </w:hyperlink>
            <w:r>
              <w:rPr>
                <w:rFonts w:ascii="Times New Roman" w:hAnsi="Times New Roman"/>
                <w:color w:val="1f1f1f"/>
                <w:sz w:val="18"/>
              </w:rPr>
              <w:t>.</w:t>
            </w:r>
          </w:p>
        </w:tc>
      </w:tr>
      <w:tr>
        <w:tblPrEx/>
        <w:trPr/>
        <w:tc>
          <w:tcPr>
            <w:vAlign w:val="top"/>
          </w:tcPr>
          <w:p>
            <w:pPr>
              <w:spacing w:before="0" w:after="0" w:line="275" w:lineRule="atLeast"/>
            </w:pPr>
            <w:bookmarkStart w:id="240" w:name="co_footnote_F2110408358_1"/>
            <w:hyperlink w:anchor="co_fnRef_F2110408358_ID0EILAE_1">
              <w:r>
                <w:rPr>
                  <w:rFonts w:ascii="Times New Roman" w:hAnsi="Times New Roman"/>
                  <w:color w:val="006fc4"/>
                  <w:sz w:val="18"/>
                  <w:vertAlign w:val="superscript"/>
                </w:rPr>
                <w:t>2</w:t>
              </w:r>
            </w:hyperlink>
            <w:bookmarkEnd w:id="240"/>
          </w:p>
        </w:tc>
        <w:tc>
          <w:tcPr>
            <w:tcMar>
              <w:top w:w="90" w:type="dxa"/>
              <w:bottom w:w="90" w:type="dxa"/>
            </w:tcMar>
            <w:vAlign w:val="top"/>
          </w:tcPr>
          <w:p>
            <w:pPr>
              <w:pBdr>
                <w:bottom w:val="none" w:space="8"/>
              </w:pBdr>
              <w:spacing w:before="0" w:after="0" w:line="255" w:lineRule="atLeast"/>
              <w:jc w:val="both"/>
            </w:pPr>
            <w:hyperlink r:id="r15">
              <w:r>
                <w:rPr>
                  <w:rFonts w:ascii="Times New Roman" w:hAnsi="Times New Roman"/>
                  <w:color w:val="006fc4"/>
                  <w:sz w:val="18"/>
                </w:rPr>
                <w:t>Parkinson v. California Co., 233 F.2d 432, 438 (10th Cir. 1956)</w:t>
              </w:r>
            </w:hyperlink>
            <w:r>
              <w:rPr>
                <w:rFonts w:ascii="Times New Roman" w:hAnsi="Times New Roman"/>
                <w:color w:val="1f1f1f"/>
                <w:sz w:val="18"/>
              </w:rPr>
              <w:t>.</w:t>
            </w:r>
          </w:p>
        </w:tc>
      </w:tr>
      <w:tr>
        <w:tblPrEx/>
        <w:trPr/>
        <w:tc>
          <w:tcPr>
            <w:vAlign w:val="top"/>
          </w:tcPr>
          <w:p>
            <w:pPr>
              <w:spacing w:before="0" w:after="0" w:line="275" w:lineRule="atLeast"/>
            </w:pPr>
            <w:bookmarkStart w:id="241" w:name="co_footnote_F3110408358_1"/>
            <w:hyperlink w:anchor="co_fnRef_F3110408358_ID0EULAE_1">
              <w:r>
                <w:rPr>
                  <w:rFonts w:ascii="Times New Roman" w:hAnsi="Times New Roman"/>
                  <w:color w:val="006fc4"/>
                  <w:sz w:val="18"/>
                  <w:vertAlign w:val="superscript"/>
                </w:rPr>
                <w:t>3</w:t>
              </w:r>
            </w:hyperlink>
            <w:bookmarkEnd w:id="241"/>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See discussion infra Part II.A.1.</w:t>
            </w:r>
          </w:p>
        </w:tc>
      </w:tr>
      <w:tr>
        <w:tblPrEx/>
        <w:trPr/>
        <w:tc>
          <w:tcPr>
            <w:vAlign w:val="top"/>
          </w:tcPr>
          <w:p>
            <w:pPr>
              <w:spacing w:before="0" w:after="0" w:line="275" w:lineRule="atLeast"/>
            </w:pPr>
            <w:bookmarkStart w:id="242" w:name="co_footnote_F4110408358_1"/>
            <w:hyperlink w:anchor="co_fnRef_F4110408358_ID0EGMAE_1">
              <w:r>
                <w:rPr>
                  <w:rFonts w:ascii="Times New Roman" w:hAnsi="Times New Roman"/>
                  <w:color w:val="006fc4"/>
                  <w:sz w:val="18"/>
                  <w:vertAlign w:val="superscript"/>
                </w:rPr>
                <w:t>4</w:t>
              </w:r>
            </w:hyperlink>
            <w:bookmarkEnd w:id="242"/>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See infra Part II.B.</w:t>
            </w:r>
          </w:p>
        </w:tc>
      </w:tr>
      <w:tr>
        <w:tblPrEx/>
        <w:trPr/>
        <w:tc>
          <w:tcPr>
            <w:vAlign w:val="top"/>
          </w:tcPr>
          <w:p>
            <w:pPr>
              <w:spacing w:before="0" w:after="0" w:line="275" w:lineRule="atLeast"/>
            </w:pPr>
            <w:bookmarkStart w:id="243" w:name="co_footnote_F5110408358_1"/>
            <w:hyperlink w:anchor="co_fnRef_F5110408358_ID0ELMAE_1">
              <w:r>
                <w:rPr>
                  <w:rFonts w:ascii="Times New Roman" w:hAnsi="Times New Roman"/>
                  <w:color w:val="006fc4"/>
                  <w:sz w:val="18"/>
                  <w:vertAlign w:val="superscript"/>
                </w:rPr>
                <w:t>5</w:t>
              </w:r>
            </w:hyperlink>
            <w:bookmarkEnd w:id="243"/>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See infra notes 87-90 and accompanying text.</w:t>
            </w:r>
          </w:p>
        </w:tc>
      </w:tr>
      <w:tr>
        <w:tblPrEx/>
        <w:trPr/>
        <w:tc>
          <w:tcPr>
            <w:vAlign w:val="top"/>
          </w:tcPr>
          <w:p>
            <w:pPr>
              <w:spacing w:before="0" w:after="0" w:line="275" w:lineRule="atLeast"/>
            </w:pPr>
            <w:bookmarkStart w:id="244" w:name="co_footnote_F6110408358_1"/>
            <w:hyperlink w:anchor="co_fnRef_F6110408358_ID0ECNAE_1">
              <w:r>
                <w:rPr>
                  <w:rFonts w:ascii="Times New Roman" w:hAnsi="Times New Roman"/>
                  <w:color w:val="006fc4"/>
                  <w:sz w:val="18"/>
                  <w:vertAlign w:val="superscript"/>
                </w:rPr>
                <w:t>6</w:t>
              </w:r>
            </w:hyperlink>
            <w:bookmarkEnd w:id="244"/>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This Article does not seek to resolve the theoretical conflicts that give rise to variations in judicial estoppel doctrine among jurisdictions, although it does suggest ways in which those variations can be reconciled. See infra notes 152-56 and accompanying text.</w:t>
            </w:r>
          </w:p>
        </w:tc>
      </w:tr>
      <w:tr>
        <w:tblPrEx/>
        <w:trPr/>
        <w:tc>
          <w:tcPr>
            <w:vAlign w:val="top"/>
          </w:tcPr>
          <w:p>
            <w:pPr>
              <w:spacing w:before="0" w:after="0" w:line="275" w:lineRule="atLeast"/>
            </w:pPr>
            <w:bookmarkStart w:id="245" w:name="co_footnote_F7110408358_1"/>
            <w:hyperlink w:anchor="co_fnRef_F7110408358_ID0ESOAE_1">
              <w:r>
                <w:rPr>
                  <w:rFonts w:ascii="Times New Roman" w:hAnsi="Times New Roman"/>
                  <w:color w:val="006fc4"/>
                  <w:sz w:val="18"/>
                  <w:vertAlign w:val="superscript"/>
                </w:rPr>
                <w:t>7</w:t>
              </w:r>
            </w:hyperlink>
            <w:bookmarkEnd w:id="245"/>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 xml:space="preserve">See </w:t>
            </w:r>
            <w:hyperlink r:id="r16">
              <w:r>
                <w:rPr>
                  <w:rFonts w:ascii="Times New Roman" w:hAnsi="Times New Roman"/>
                  <w:color w:val="006fc4"/>
                  <w:sz w:val="18"/>
                </w:rPr>
                <w:t>Douglas W. Henkin, Comment, Judicial Estoppel--Beating Shields Into Swords and Back Again, 139 U. Pa. L. Rev. 1711, 1713-14 (1991)</w:t>
              </w:r>
            </w:hyperlink>
            <w:r>
              <w:rPr>
                <w:rFonts w:ascii="Times New Roman" w:hAnsi="Times New Roman"/>
                <w:color w:val="1f1f1f"/>
                <w:sz w:val="18"/>
              </w:rPr>
              <w:t xml:space="preserve"> (summarizing the undesirable effects of an excessively strong judicial estoppel doctrine on advocacy).</w:t>
            </w:r>
          </w:p>
        </w:tc>
      </w:tr>
      <w:tr>
        <w:tblPrEx/>
        <w:trPr/>
        <w:tc>
          <w:tcPr>
            <w:vAlign w:val="top"/>
          </w:tcPr>
          <w:p>
            <w:pPr>
              <w:spacing w:before="0" w:after="0" w:line="275" w:lineRule="atLeast"/>
            </w:pPr>
            <w:bookmarkStart w:id="246" w:name="co_footnote_F8110408358_1"/>
            <w:hyperlink w:anchor="co_fnRef_F8110408358_ID0E1OAE_1">
              <w:r>
                <w:rPr>
                  <w:rFonts w:ascii="Times New Roman" w:hAnsi="Times New Roman"/>
                  <w:color w:val="006fc4"/>
                  <w:sz w:val="18"/>
                  <w:vertAlign w:val="superscript"/>
                </w:rPr>
                <w:t>8</w:t>
              </w:r>
            </w:hyperlink>
            <w:bookmarkEnd w:id="246"/>
          </w:p>
        </w:tc>
        <w:tc>
          <w:tcPr>
            <w:tcMar>
              <w:top w:w="90" w:type="dxa"/>
              <w:bottom w:w="90" w:type="dxa"/>
            </w:tcMar>
            <w:vAlign w:val="top"/>
          </w:tcPr>
          <w:p>
            <w:pPr>
              <w:pBdr>
                <w:bottom w:val="none" w:space="8"/>
              </w:pBdr>
              <w:spacing w:before="0" w:after="0" w:line="255" w:lineRule="atLeast"/>
              <w:jc w:val="both"/>
            </w:pPr>
            <w:hyperlink r:id="r17">
              <w:r>
                <w:rPr>
                  <w:rFonts w:ascii="Times New Roman" w:hAnsi="Times New Roman"/>
                  <w:color w:val="006fc4"/>
                  <w:sz w:val="18"/>
                </w:rPr>
                <w:t>Teledyne Indus., Inc. v. NLRB, 911 F.2d 1214, 1217-18 (6th Cir. 1990)</w:t>
              </w:r>
            </w:hyperlink>
            <w:r>
              <w:rPr>
                <w:rFonts w:ascii="Times New Roman" w:hAnsi="Times New Roman"/>
                <w:color w:val="1f1f1f"/>
                <w:sz w:val="18"/>
              </w:rPr>
              <w:t>.</w:t>
            </w:r>
          </w:p>
        </w:tc>
      </w:tr>
      <w:tr>
        <w:tblPrEx/>
        <w:trPr/>
        <w:tc>
          <w:tcPr>
            <w:vAlign w:val="top"/>
          </w:tcPr>
          <w:p>
            <w:pPr>
              <w:spacing w:before="0" w:after="0" w:line="275" w:lineRule="atLeast"/>
            </w:pPr>
            <w:bookmarkStart w:id="247" w:name="co_footnote_F9110408358_1"/>
            <w:hyperlink w:anchor="co_fnRef_F9110408358_ID0E5OAE_1">
              <w:r>
                <w:rPr>
                  <w:rFonts w:ascii="Times New Roman" w:hAnsi="Times New Roman"/>
                  <w:color w:val="006fc4"/>
                  <w:sz w:val="18"/>
                  <w:vertAlign w:val="superscript"/>
                </w:rPr>
                <w:t>9</w:t>
              </w:r>
            </w:hyperlink>
            <w:bookmarkEnd w:id="247"/>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 xml:space="preserve">Many courts have not definitively addressed the doctrine, including the Supreme Court. See Lawrence B. Solum, Stare Decisis, Law of the Case, &amp; Judicial Estoppel, in 18 James William Moore, Moore's Federal Practice § 134.30, at 134-62 &amp; n.4 (3d ed. 1997); see also </w:t>
            </w:r>
            <w:hyperlink r:id="r18">
              <w:r>
                <w:rPr>
                  <w:rFonts w:ascii="Times New Roman" w:hAnsi="Times New Roman"/>
                  <w:color w:val="006fc4"/>
                  <w:sz w:val="18"/>
                </w:rPr>
                <w:t>18 Charles A. Wright et al., Federal Practice &amp; Procedure § 4477, at 779 (1981)</w:t>
              </w:r>
            </w:hyperlink>
            <w:r>
              <w:rPr>
                <w:rFonts w:ascii="Times New Roman" w:hAnsi="Times New Roman"/>
                <w:color w:val="1f1f1f"/>
                <w:sz w:val="18"/>
              </w:rPr>
              <w:t xml:space="preserve"> (“As compared to the occasionally intricate rules of preclusion by judgment, these rules do not provide any refined or highly developed principles.”).</w:t>
            </w:r>
          </w:p>
        </w:tc>
      </w:tr>
      <w:tr>
        <w:tblPrEx/>
        <w:trPr/>
        <w:tc>
          <w:tcPr>
            <w:vAlign w:val="top"/>
          </w:tcPr>
          <w:p>
            <w:pPr>
              <w:spacing w:before="0" w:after="0" w:line="275" w:lineRule="atLeast"/>
            </w:pPr>
            <w:bookmarkStart w:id="248" w:name="co_footnote_F10110408358_1"/>
            <w:hyperlink w:anchor="co_fnRef_F10110408358_ID0EZPAE_1">
              <w:r>
                <w:rPr>
                  <w:rFonts w:ascii="Times New Roman" w:hAnsi="Times New Roman"/>
                  <w:color w:val="006fc4"/>
                  <w:sz w:val="18"/>
                  <w:vertAlign w:val="superscript"/>
                </w:rPr>
                <w:t>10</w:t>
              </w:r>
            </w:hyperlink>
            <w:bookmarkEnd w:id="248"/>
          </w:p>
        </w:tc>
        <w:tc>
          <w:tcPr>
            <w:tcMar>
              <w:top w:w="90" w:type="dxa"/>
              <w:bottom w:w="90" w:type="dxa"/>
            </w:tcMar>
            <w:vAlign w:val="top"/>
          </w:tcPr>
          <w:p>
            <w:pPr>
              <w:pBdr>
                <w:bottom w:val="none" w:space="8"/>
              </w:pBdr>
              <w:spacing w:before="0" w:after="0" w:line="255" w:lineRule="atLeast"/>
              <w:jc w:val="both"/>
            </w:pPr>
            <w:hyperlink r:id="r19">
              <w:r>
                <w:rPr>
                  <w:rFonts w:ascii="Times New Roman" w:hAnsi="Times New Roman"/>
                  <w:color w:val="006fc4"/>
                  <w:sz w:val="18"/>
                </w:rPr>
                <w:t>McNemar v. Disney Store, Inc., 91 F.3d 610, 617 (3d Cir. 1996)</w:t>
              </w:r>
            </w:hyperlink>
            <w:r>
              <w:rPr>
                <w:rFonts w:ascii="Times New Roman" w:hAnsi="Times New Roman"/>
                <w:color w:val="1f1f1f"/>
                <w:sz w:val="18"/>
              </w:rPr>
              <w:t xml:space="preserve"> (quoting </w:t>
            </w:r>
            <w:hyperlink r:id="r20">
              <w:r>
                <w:rPr>
                  <w:rFonts w:ascii="Times New Roman" w:hAnsi="Times New Roman"/>
                  <w:color w:val="006fc4"/>
                  <w:sz w:val="18"/>
                </w:rPr>
                <w:t>Galt v. Phoenix Indem. Co., 120 F.2d 723, 726 (D.C. Cir. 1941)</w:t>
              </w:r>
            </w:hyperlink>
            <w:r>
              <w:rPr>
                <w:rFonts w:ascii="Times New Roman" w:hAnsi="Times New Roman"/>
                <w:color w:val="1f1f1f"/>
                <w:sz w:val="18"/>
              </w:rPr>
              <w:t>); see also Moore, supra note 9, § 134.30 (“Other courts emphasize that the doctrine depends on judgments on particular facts, and that hard and fast rules are inappropriate.”).</w:t>
            </w:r>
          </w:p>
        </w:tc>
      </w:tr>
      <w:tr>
        <w:tblPrEx/>
        <w:trPr/>
        <w:tc>
          <w:tcPr>
            <w:vAlign w:val="top"/>
          </w:tcPr>
          <w:p>
            <w:pPr>
              <w:spacing w:before="0" w:after="0" w:line="275" w:lineRule="atLeast"/>
            </w:pPr>
            <w:bookmarkStart w:id="249" w:name="co_footnote_F11110408358_1"/>
            <w:hyperlink w:anchor="co_fnRef_F11110408358_ID0E3PAE_1">
              <w:r>
                <w:rPr>
                  <w:rFonts w:ascii="Times New Roman" w:hAnsi="Times New Roman"/>
                  <w:color w:val="006fc4"/>
                  <w:sz w:val="18"/>
                  <w:vertAlign w:val="superscript"/>
                </w:rPr>
                <w:t>11</w:t>
              </w:r>
            </w:hyperlink>
            <w:bookmarkEnd w:id="249"/>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 xml:space="preserve">The doctrine is occasionally referred to in the context of inconsistent positions within the same suit, but those references are of questionable validity given the widespread use of alternative pleading. See </w:t>
            </w:r>
            <w:hyperlink r:id="r21">
              <w:r>
                <w:rPr>
                  <w:rFonts w:ascii="Times New Roman" w:hAnsi="Times New Roman"/>
                  <w:color w:val="006fc4"/>
                  <w:sz w:val="18"/>
                </w:rPr>
                <w:t>Mark J. Plumer, Note, Judicial Estoppel: The Refurbishing of a Judicial Shield, 55 Geo. Wash. L. Rev. 409, 418-20 (1987)</w:t>
              </w:r>
            </w:hyperlink>
            <w:r>
              <w:rPr>
                <w:rFonts w:ascii="Times New Roman" w:hAnsi="Times New Roman"/>
                <w:color w:val="1f1f1f"/>
                <w:sz w:val="18"/>
              </w:rPr>
              <w:t>. This Article does not address this application of the doctrine.</w:t>
            </w:r>
          </w:p>
        </w:tc>
      </w:tr>
      <w:tr>
        <w:tblPrEx/>
        <w:trPr/>
        <w:tc>
          <w:tcPr>
            <w:vAlign w:val="top"/>
          </w:tcPr>
          <w:p>
            <w:pPr>
              <w:spacing w:before="0" w:after="0" w:line="275" w:lineRule="atLeast"/>
            </w:pPr>
            <w:bookmarkStart w:id="250" w:name="co_footnote_F12110408358_1"/>
            <w:hyperlink w:anchor="co_fnRef_F12110408358_ID0EGQAE_1">
              <w:r>
                <w:rPr>
                  <w:rFonts w:ascii="Times New Roman" w:hAnsi="Times New Roman"/>
                  <w:color w:val="006fc4"/>
                  <w:sz w:val="18"/>
                  <w:vertAlign w:val="superscript"/>
                </w:rPr>
                <w:t>12</w:t>
              </w:r>
            </w:hyperlink>
            <w:bookmarkEnd w:id="250"/>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 xml:space="preserve">See </w:t>
            </w:r>
            <w:hyperlink r:id="r22">
              <w:r>
                <w:rPr>
                  <w:rFonts w:ascii="Times New Roman" w:hAnsi="Times New Roman"/>
                  <w:color w:val="006fc4"/>
                  <w:sz w:val="18"/>
                </w:rPr>
                <w:t>Ashley S. Deeks, Comment, Raising the Cost of Lying: Rethinking Erie for Judicial Estoppel, 64 U. Chi. L. Rev. 873, 877-79 (1997)</w:t>
              </w:r>
            </w:hyperlink>
            <w:r>
              <w:rPr>
                <w:rFonts w:ascii="Times New Roman" w:hAnsi="Times New Roman"/>
                <w:color w:val="1f1f1f"/>
                <w:sz w:val="18"/>
              </w:rPr>
              <w:t xml:space="preserve"> (comparing a “success test” to a “fast and loose test”); John R. Knight, The Doctrine of Judicial Estoppel: What Does it Really Mean?, 44 Fed. Law., Oct. 1997, at 32 (stating the majority view of the doctrine that judicial estoppel is not used unless the first forum accepted the legal or factual assertion, as compared to the minority view that judicial estoppel is used if the litigant is “playing fast and loose with the courts”); see also Wright, supra note 9, § 4477 (identifying three types of “preclusion by inconsistent positions:” an equitable estoppel theory focusing on reliance by the opponent of the party who seeks to change positions; an expansion of that theory to include the court that relied upon the prior position; and a further expansion to include statements made under oath).</w:t>
            </w:r>
          </w:p>
        </w:tc>
      </w:tr>
      <w:tr>
        <w:tblPrEx/>
        <w:trPr/>
        <w:tc>
          <w:tcPr>
            <w:vAlign w:val="top"/>
          </w:tcPr>
          <w:p>
            <w:pPr>
              <w:spacing w:before="0" w:after="0" w:line="275" w:lineRule="atLeast"/>
            </w:pPr>
            <w:bookmarkStart w:id="251" w:name="co_footnote_F13110408358_1"/>
            <w:hyperlink w:anchor="co_fnRef_F13110408358_ID0EQQAE_1">
              <w:r>
                <w:rPr>
                  <w:rFonts w:ascii="Times New Roman" w:hAnsi="Times New Roman"/>
                  <w:color w:val="006fc4"/>
                  <w:sz w:val="18"/>
                  <w:vertAlign w:val="superscript"/>
                </w:rPr>
                <w:t>13</w:t>
              </w:r>
            </w:hyperlink>
            <w:bookmarkEnd w:id="251"/>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This Article does not undertake a survey of all state court views of this doctrine, but the literature suggests that this view is also held by a majority of the state courts that have adopted the doctrine. See Henkin, supra note 7, at 1756-60.</w:t>
            </w:r>
          </w:p>
        </w:tc>
      </w:tr>
      <w:tr>
        <w:tblPrEx/>
        <w:trPr/>
        <w:tc>
          <w:tcPr>
            <w:vAlign w:val="top"/>
          </w:tcPr>
          <w:p>
            <w:pPr>
              <w:spacing w:before="0" w:after="0" w:line="275" w:lineRule="atLeast"/>
            </w:pPr>
            <w:bookmarkStart w:id="252" w:name="co_footnote_F14110408358_1"/>
            <w:hyperlink w:anchor="co_fnRef_F14110408358_ID0EVQAE_1">
              <w:r>
                <w:rPr>
                  <w:rFonts w:ascii="Times New Roman" w:hAnsi="Times New Roman"/>
                  <w:color w:val="006fc4"/>
                  <w:sz w:val="18"/>
                  <w:vertAlign w:val="superscript"/>
                </w:rPr>
                <w:t>14</w:t>
              </w:r>
            </w:hyperlink>
            <w:bookmarkEnd w:id="252"/>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 xml:space="preserve">See </w:t>
            </w:r>
            <w:hyperlink r:id="r23">
              <w:r>
                <w:rPr>
                  <w:rFonts w:ascii="Times New Roman" w:hAnsi="Times New Roman"/>
                  <w:color w:val="006fc4"/>
                  <w:sz w:val="18"/>
                </w:rPr>
                <w:t>Stevens Technical Servs., Inc. v. SS Brooklyn, 885 F.2d 584, 588 (9th Cir. 1989)</w:t>
              </w:r>
            </w:hyperlink>
            <w:r>
              <w:rPr>
                <w:rFonts w:ascii="Times New Roman" w:hAnsi="Times New Roman"/>
                <w:color w:val="1f1f1f"/>
                <w:sz w:val="18"/>
              </w:rPr>
              <w:t xml:space="preserve"> (“Most circuits have refused to apply the doctrine of judicial estoppel unless the inconsistent assertion in the subsequent litigation was adopted in some manner by the court in the prior litigation.”).</w:t>
            </w:r>
          </w:p>
        </w:tc>
      </w:tr>
      <w:tr>
        <w:tblPrEx/>
        <w:trPr/>
        <w:tc>
          <w:tcPr>
            <w:vAlign w:val="top"/>
          </w:tcPr>
          <w:p>
            <w:pPr>
              <w:spacing w:before="0" w:after="0" w:line="275" w:lineRule="atLeast"/>
            </w:pPr>
            <w:bookmarkStart w:id="253" w:name="co_footnote_F15110408358_1"/>
            <w:hyperlink w:anchor="co_fnRef_F15110408358_ID0EGRAE_1">
              <w:r>
                <w:rPr>
                  <w:rFonts w:ascii="Times New Roman" w:hAnsi="Times New Roman"/>
                  <w:color w:val="006fc4"/>
                  <w:sz w:val="18"/>
                  <w:vertAlign w:val="superscript"/>
                </w:rPr>
                <w:t>15</w:t>
              </w:r>
            </w:hyperlink>
            <w:bookmarkEnd w:id="253"/>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 xml:space="preserve">See </w:t>
            </w:r>
            <w:hyperlink r:id="r24">
              <w:r>
                <w:rPr>
                  <w:rFonts w:ascii="Times New Roman" w:hAnsi="Times New Roman"/>
                  <w:color w:val="006fc4"/>
                  <w:sz w:val="18"/>
                </w:rPr>
                <w:t>Teledyne Indus., Inc. v. NLRB, 911 F.2d 1214, 1218 (6th Cir. 1990)</w:t>
              </w:r>
            </w:hyperlink>
            <w:r>
              <w:rPr>
                <w:rFonts w:ascii="Times New Roman" w:hAnsi="Times New Roman"/>
                <w:color w:val="1f1f1f"/>
                <w:sz w:val="18"/>
              </w:rPr>
              <w:t xml:space="preserve"> (“Although this limit allows parties to contradict themselves in court, it threatens only the integrity of the parties, not of the court.”).</w:t>
            </w:r>
          </w:p>
        </w:tc>
      </w:tr>
      <w:tr>
        <w:tblPrEx/>
        <w:trPr/>
        <w:tc>
          <w:tcPr>
            <w:vAlign w:val="top"/>
          </w:tcPr>
          <w:p>
            <w:pPr>
              <w:spacing w:before="0" w:after="0" w:line="275" w:lineRule="atLeast"/>
            </w:pPr>
            <w:bookmarkStart w:id="254" w:name="co_footnote_F16110408358_1"/>
            <w:hyperlink w:anchor="co_fnRef_F16110408358_ID0EWRAE_1">
              <w:r>
                <w:rPr>
                  <w:rFonts w:ascii="Times New Roman" w:hAnsi="Times New Roman"/>
                  <w:color w:val="006fc4"/>
                  <w:sz w:val="18"/>
                  <w:vertAlign w:val="superscript"/>
                </w:rPr>
                <w:t>16</w:t>
              </w:r>
            </w:hyperlink>
            <w:bookmarkEnd w:id="254"/>
          </w:p>
        </w:tc>
        <w:tc>
          <w:tcPr>
            <w:tcMar>
              <w:top w:w="90" w:type="dxa"/>
              <w:bottom w:w="90" w:type="dxa"/>
            </w:tcMar>
            <w:vAlign w:val="top"/>
          </w:tcPr>
          <w:p>
            <w:pPr>
              <w:pBdr>
                <w:bottom w:val="none" w:space="8"/>
              </w:pBdr>
              <w:spacing w:before="0" w:after="0" w:line="255" w:lineRule="atLeast"/>
              <w:jc w:val="both"/>
            </w:pPr>
            <w:hyperlink r:id="r25">
              <w:r>
                <w:rPr>
                  <w:rFonts w:ascii="Times New Roman" w:hAnsi="Times New Roman"/>
                  <w:color w:val="006fc4"/>
                  <w:sz w:val="18"/>
                </w:rPr>
                <w:t>Colonial Refrigerated Transp. v. Mitchell, 403 F.2d 541, 550 (5th Cir. 1968)</w:t>
              </w:r>
            </w:hyperlink>
            <w:r>
              <w:rPr>
                <w:rFonts w:ascii="Times New Roman" w:hAnsi="Times New Roman"/>
                <w:color w:val="1f1f1f"/>
                <w:sz w:val="18"/>
              </w:rPr>
              <w:t>.</w:t>
            </w:r>
          </w:p>
        </w:tc>
      </w:tr>
      <w:tr>
        <w:tblPrEx/>
        <w:trPr/>
        <w:tc>
          <w:tcPr>
            <w:vAlign w:val="top"/>
          </w:tcPr>
          <w:p>
            <w:pPr>
              <w:spacing w:before="0" w:after="0" w:line="275" w:lineRule="atLeast"/>
            </w:pPr>
            <w:bookmarkStart w:id="255" w:name="co_footnote_F17110408358_1"/>
            <w:hyperlink w:anchor="co_fnRef_F17110408358_ID0EASAE_1">
              <w:r>
                <w:rPr>
                  <w:rFonts w:ascii="Times New Roman" w:hAnsi="Times New Roman"/>
                  <w:color w:val="006fc4"/>
                  <w:sz w:val="18"/>
                  <w:vertAlign w:val="superscript"/>
                </w:rPr>
                <w:t>17</w:t>
              </w:r>
            </w:hyperlink>
            <w:bookmarkEnd w:id="255"/>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See generally John Norton Pomeroy, A Treatise on Equity Jurisprudence § 804, at 189 (Spencer W. Symons ed. 5th ed., 1941). Pomeroy states that “all applications” of equitable estoppel can be described as</w:t>
            </w:r>
          </w:p>
          <w:p>
            <w:pPr>
              <w:pBdr>
                <w:bottom w:val="none" w:space="8"/>
              </w:pBdr>
              <w:spacing w:before="0" w:after="0" w:line="255" w:lineRule="atLeast"/>
              <w:jc w:val="both"/>
            </w:pPr>
            <w:r>
              <w:rPr>
                <w:rFonts w:ascii="Times New Roman" w:hAnsi="Times New Roman"/>
                <w:color w:val="1f1f1f"/>
                <w:sz w:val="18"/>
              </w:rPr>
              <w:t>the effect of the voluntary conduct of a party whereby he is absolutely precluded, both at law and in equity, from asserting rights which might perhaps have otherwise existed, either of property, of contract, or of remedy, as against another person, who has in good faith relied upon such conduct, and has been led thereby to change his position for the worse, and who on his part acquires some corresponding right, either of property, of contract, or of remedy.</w:t>
            </w:r>
          </w:p>
        </w:tc>
      </w:tr>
      <w:tr>
        <w:tblPrEx/>
        <w:trPr/>
        <w:tc>
          <w:tcPr>
            <w:vAlign w:val="top"/>
          </w:tcPr>
          <w:p>
            <w:pPr>
              <w:spacing w:before="0" w:after="0" w:line="275" w:lineRule="atLeast"/>
            </w:pPr>
            <w:bookmarkStart w:id="256" w:name="co_footnote_F18110408358_1"/>
            <w:hyperlink w:anchor="co_fnRef_F18110408358_ID0EFSAE_1">
              <w:r>
                <w:rPr>
                  <w:rFonts w:ascii="Times New Roman" w:hAnsi="Times New Roman"/>
                  <w:color w:val="006fc4"/>
                  <w:sz w:val="18"/>
                  <w:vertAlign w:val="superscript"/>
                </w:rPr>
                <w:t>18</w:t>
              </w:r>
            </w:hyperlink>
            <w:bookmarkEnd w:id="256"/>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 xml:space="preserve">See </w:t>
            </w:r>
            <w:hyperlink r:id="r26">
              <w:r>
                <w:rPr>
                  <w:rFonts w:ascii="Times New Roman" w:hAnsi="Times New Roman"/>
                  <w:color w:val="006fc4"/>
                  <w:sz w:val="18"/>
                </w:rPr>
                <w:t>Colonial Refrigerated Transp., 403 F.2d at 550.</w:t>
              </w:r>
            </w:hyperlink>
          </w:p>
        </w:tc>
      </w:tr>
      <w:tr>
        <w:tblPrEx/>
        <w:trPr/>
        <w:tc>
          <w:tcPr>
            <w:vAlign w:val="top"/>
          </w:tcPr>
          <w:p>
            <w:pPr>
              <w:spacing w:before="0" w:after="0" w:line="275" w:lineRule="atLeast"/>
            </w:pPr>
            <w:bookmarkStart w:id="257" w:name="co_footnote_F19110408358_1"/>
            <w:hyperlink w:anchor="co_fnRef_F19110408358_ID0EJSAE_1">
              <w:r>
                <w:rPr>
                  <w:rFonts w:ascii="Times New Roman" w:hAnsi="Times New Roman"/>
                  <w:color w:val="006fc4"/>
                  <w:sz w:val="18"/>
                  <w:vertAlign w:val="superscript"/>
                </w:rPr>
                <w:t>19</w:t>
              </w:r>
            </w:hyperlink>
            <w:bookmarkEnd w:id="257"/>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See Wright, supra note 9, § 4477, at 782.</w:t>
            </w:r>
          </w:p>
        </w:tc>
      </w:tr>
      <w:tr>
        <w:tblPrEx/>
        <w:trPr/>
        <w:tc>
          <w:tcPr>
            <w:vAlign w:val="top"/>
          </w:tcPr>
          <w:p>
            <w:pPr>
              <w:spacing w:before="0" w:after="0" w:line="275" w:lineRule="atLeast"/>
            </w:pPr>
            <w:bookmarkStart w:id="258" w:name="co_footnote_F20110408358_1"/>
            <w:hyperlink w:anchor="co_fnRef_F20110408358_ID0EYSAE_1">
              <w:r>
                <w:rPr>
                  <w:rFonts w:ascii="Times New Roman" w:hAnsi="Times New Roman"/>
                  <w:color w:val="006fc4"/>
                  <w:sz w:val="18"/>
                  <w:vertAlign w:val="superscript"/>
                </w:rPr>
                <w:t>20</w:t>
              </w:r>
            </w:hyperlink>
            <w:bookmarkEnd w:id="258"/>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 xml:space="preserve">See </w:t>
            </w:r>
            <w:hyperlink r:id="r27">
              <w:r>
                <w:rPr>
                  <w:rFonts w:ascii="Times New Roman" w:hAnsi="Times New Roman"/>
                  <w:color w:val="006fc4"/>
                  <w:sz w:val="18"/>
                </w:rPr>
                <w:t>Lowery v. Stovall, 92 F.3d 219, 223 n.3 (4th Cir. 1996)</w:t>
              </w:r>
            </w:hyperlink>
            <w:r>
              <w:rPr>
                <w:rFonts w:ascii="Times New Roman" w:hAnsi="Times New Roman"/>
                <w:color w:val="1f1f1f"/>
                <w:sz w:val="18"/>
              </w:rPr>
              <w:t xml:space="preserve"> (“Unlike equitable estoppel, a party asserting judicial estoppel does not have to prove detrimental reliance because judicial estoppel is designed to protect the integrity of the courts rather than any interest of the litigants.”); </w:t>
            </w:r>
            <w:hyperlink r:id="r28">
              <w:r>
                <w:rPr>
                  <w:rFonts w:ascii="Times New Roman" w:hAnsi="Times New Roman"/>
                  <w:color w:val="006fc4"/>
                  <w:sz w:val="18"/>
                </w:rPr>
                <w:t>Delgrosso v. Spang &amp; Co., 903 F.2d 234, 241 (3d Cir. 1990)</w:t>
              </w:r>
            </w:hyperlink>
            <w:r>
              <w:rPr>
                <w:rFonts w:ascii="Times New Roman" w:hAnsi="Times New Roman"/>
                <w:color w:val="1f1f1f"/>
                <w:sz w:val="18"/>
              </w:rPr>
              <w:t xml:space="preserve"> (“Unlike the concept of equitable estoppel, which focuses on the relationship between the parties, judicial estoppel focuses on the relationship between the litigant and the judicial system, and seeks to preserve the integrity of the system.”). On the broad issue of the importance of the image of the judicial system and legal profession, see generally </w:t>
            </w:r>
            <w:hyperlink r:id="r29">
              <w:r>
                <w:rPr>
                  <w:rFonts w:ascii="Times New Roman" w:hAnsi="Times New Roman"/>
                  <w:color w:val="006fc4"/>
                  <w:sz w:val="18"/>
                </w:rPr>
                <w:t>Elizabeth D. Whitaker &amp; David S. Coale, Professional Image and Lawyer Advertising, 28 Tex. Tech. L. Rev. 801, 819-21 (1997)</w:t>
              </w:r>
            </w:hyperlink>
            <w:r>
              <w:rPr>
                <w:rFonts w:ascii="Times New Roman" w:hAnsi="Times New Roman"/>
                <w:color w:val="1f1f1f"/>
                <w:sz w:val="18"/>
              </w:rPr>
              <w:t>.</w:t>
            </w:r>
          </w:p>
        </w:tc>
      </w:tr>
      <w:tr>
        <w:tblPrEx/>
        <w:trPr/>
        <w:tc>
          <w:tcPr>
            <w:vAlign w:val="top"/>
          </w:tcPr>
          <w:p>
            <w:pPr>
              <w:spacing w:before="0" w:after="0" w:line="275" w:lineRule="atLeast"/>
            </w:pPr>
            <w:bookmarkStart w:id="259" w:name="co_footnote_F21110408358_1"/>
            <w:hyperlink w:anchor="co_fnRef_F21110408358_ID0E2SAE_1">
              <w:r>
                <w:rPr>
                  <w:rFonts w:ascii="Times New Roman" w:hAnsi="Times New Roman"/>
                  <w:color w:val="006fc4"/>
                  <w:sz w:val="18"/>
                  <w:vertAlign w:val="superscript"/>
                </w:rPr>
                <w:t>21</w:t>
              </w:r>
            </w:hyperlink>
            <w:bookmarkEnd w:id="259"/>
          </w:p>
        </w:tc>
        <w:tc>
          <w:tcPr>
            <w:tcMar>
              <w:top w:w="90" w:type="dxa"/>
              <w:bottom w:w="90" w:type="dxa"/>
            </w:tcMar>
            <w:vAlign w:val="top"/>
          </w:tcPr>
          <w:p>
            <w:pPr>
              <w:pBdr>
                <w:bottom w:val="none" w:space="8"/>
              </w:pBdr>
              <w:spacing w:before="0" w:after="0" w:line="255" w:lineRule="atLeast"/>
              <w:jc w:val="both"/>
            </w:pPr>
            <w:hyperlink r:id="r30">
              <w:r>
                <w:rPr>
                  <w:rFonts w:ascii="Times New Roman" w:hAnsi="Times New Roman"/>
                  <w:color w:val="006fc4"/>
                  <w:sz w:val="18"/>
                </w:rPr>
                <w:t>690 F.2d 595 (6th Cir. 1982)</w:t>
              </w:r>
            </w:hyperlink>
            <w:r>
              <w:rPr>
                <w:rFonts w:ascii="Times New Roman" w:hAnsi="Times New Roman"/>
                <w:color w:val="1f1f1f"/>
                <w:sz w:val="18"/>
              </w:rPr>
              <w:t>.</w:t>
            </w:r>
          </w:p>
        </w:tc>
      </w:tr>
      <w:tr>
        <w:tblPrEx/>
        <w:trPr/>
        <w:tc>
          <w:tcPr>
            <w:vAlign w:val="top"/>
          </w:tcPr>
          <w:p>
            <w:pPr>
              <w:spacing w:before="0" w:after="0" w:line="275" w:lineRule="atLeast"/>
            </w:pPr>
            <w:bookmarkStart w:id="260" w:name="co_footnote_F22110408358_1"/>
            <w:hyperlink w:anchor="co_fnRef_F22110408358_ID0ENTAE_1">
              <w:r>
                <w:rPr>
                  <w:rFonts w:ascii="Times New Roman" w:hAnsi="Times New Roman"/>
                  <w:color w:val="006fc4"/>
                  <w:sz w:val="18"/>
                  <w:vertAlign w:val="superscript"/>
                </w:rPr>
                <w:t>22</w:t>
              </w:r>
            </w:hyperlink>
            <w:bookmarkEnd w:id="260"/>
          </w:p>
        </w:tc>
        <w:tc>
          <w:tcPr>
            <w:tcMar>
              <w:top w:w="90" w:type="dxa"/>
              <w:bottom w:w="90" w:type="dxa"/>
            </w:tcMar>
            <w:vAlign w:val="top"/>
          </w:tcPr>
          <w:p>
            <w:pPr>
              <w:pBdr>
                <w:bottom w:val="none" w:space="8"/>
              </w:pBdr>
              <w:spacing w:before="0" w:after="0" w:line="255" w:lineRule="atLeast"/>
              <w:jc w:val="both"/>
            </w:pPr>
            <w:hyperlink r:id="r31">
              <w:r>
                <w:rPr>
                  <w:rFonts w:ascii="Times New Roman" w:hAnsi="Times New Roman"/>
                  <w:color w:val="006fc4"/>
                  <w:sz w:val="18"/>
                </w:rPr>
                <w:t>Id. at 598-99</w:t>
              </w:r>
            </w:hyperlink>
            <w:r>
              <w:rPr>
                <w:rFonts w:ascii="Times New Roman" w:hAnsi="Times New Roman"/>
                <w:color w:val="1f1f1f"/>
                <w:sz w:val="18"/>
              </w:rPr>
              <w:t xml:space="preserve"> (citations omitted).</w:t>
            </w:r>
          </w:p>
        </w:tc>
      </w:tr>
      <w:tr>
        <w:tblPrEx/>
        <w:trPr/>
        <w:tc>
          <w:tcPr>
            <w:vAlign w:val="top"/>
          </w:tcPr>
          <w:p>
            <w:pPr>
              <w:spacing w:before="0" w:after="0" w:line="275" w:lineRule="atLeast"/>
            </w:pPr>
            <w:bookmarkStart w:id="261" w:name="co_footnote_F23110408358_1"/>
            <w:hyperlink w:anchor="co_fnRef_F23110408358_ID0EVTAE_1">
              <w:r>
                <w:rPr>
                  <w:rFonts w:ascii="Times New Roman" w:hAnsi="Times New Roman"/>
                  <w:color w:val="006fc4"/>
                  <w:sz w:val="18"/>
                  <w:vertAlign w:val="superscript"/>
                </w:rPr>
                <w:t>23</w:t>
              </w:r>
            </w:hyperlink>
            <w:bookmarkEnd w:id="261"/>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 xml:space="preserve">See, e.g., </w:t>
            </w:r>
            <w:hyperlink r:id="r32">
              <w:r>
                <w:rPr>
                  <w:rFonts w:ascii="Times New Roman" w:hAnsi="Times New Roman"/>
                  <w:color w:val="006fc4"/>
                  <w:sz w:val="18"/>
                </w:rPr>
                <w:t>Rand G. Boyers, Comment, Precluding Inconsistent Statements: The Doctrine of Judicial Estoppel, 80 Nw. U. L. Rev. 1244, 1248 (1986)</w:t>
              </w:r>
            </w:hyperlink>
            <w:r>
              <w:rPr>
                <w:rFonts w:ascii="Times New Roman" w:hAnsi="Times New Roman"/>
                <w:color w:val="1f1f1f"/>
                <w:sz w:val="18"/>
              </w:rPr>
              <w:t xml:space="preserve"> (stating that courts have blurred the distinction between the doctrines by “mislabeling as ‘judicial estoppel’ that which is really ‘equitable estoppel”’).</w:t>
            </w:r>
          </w:p>
        </w:tc>
      </w:tr>
      <w:tr>
        <w:tblPrEx/>
        <w:trPr/>
        <w:tc>
          <w:tcPr>
            <w:vAlign w:val="top"/>
          </w:tcPr>
          <w:p>
            <w:pPr>
              <w:spacing w:before="0" w:after="0" w:line="275" w:lineRule="atLeast"/>
            </w:pPr>
            <w:bookmarkStart w:id="262" w:name="co_footnote_F24110408358_1"/>
            <w:hyperlink w:anchor="co_fnRef_F24110408358_ID0E1TAE_1">
              <w:r>
                <w:rPr>
                  <w:rFonts w:ascii="Times New Roman" w:hAnsi="Times New Roman"/>
                  <w:color w:val="006fc4"/>
                  <w:sz w:val="18"/>
                  <w:vertAlign w:val="superscript"/>
                </w:rPr>
                <w:t>24</w:t>
              </w:r>
            </w:hyperlink>
            <w:bookmarkEnd w:id="262"/>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See Wright, supra note 9, § 4477, at 727 (Supp. 1998).</w:t>
            </w:r>
          </w:p>
        </w:tc>
      </w:tr>
      <w:tr>
        <w:tblPrEx/>
        <w:trPr/>
        <w:tc>
          <w:tcPr>
            <w:vAlign w:val="top"/>
          </w:tcPr>
          <w:p>
            <w:pPr>
              <w:spacing w:before="0" w:after="0" w:line="275" w:lineRule="atLeast"/>
            </w:pPr>
            <w:bookmarkStart w:id="263" w:name="co_footnote_F25110408358_1"/>
            <w:hyperlink w:anchor="co_fnRef_F25110408358_ID0EEUAE_1">
              <w:r>
                <w:rPr>
                  <w:rFonts w:ascii="Times New Roman" w:hAnsi="Times New Roman"/>
                  <w:color w:val="006fc4"/>
                  <w:sz w:val="18"/>
                  <w:vertAlign w:val="superscript"/>
                </w:rPr>
                <w:t>25</w:t>
              </w:r>
            </w:hyperlink>
            <w:bookmarkEnd w:id="263"/>
          </w:p>
        </w:tc>
        <w:tc>
          <w:tcPr>
            <w:tcMar>
              <w:top w:w="90" w:type="dxa"/>
              <w:bottom w:w="90" w:type="dxa"/>
            </w:tcMar>
            <w:vAlign w:val="top"/>
          </w:tcPr>
          <w:p>
            <w:pPr>
              <w:pBdr>
                <w:bottom w:val="none" w:space="8"/>
              </w:pBdr>
              <w:spacing w:before="0" w:after="0" w:line="255" w:lineRule="atLeast"/>
              <w:jc w:val="both"/>
            </w:pPr>
            <w:hyperlink r:id="r33">
              <w:r>
                <w:rPr>
                  <w:rFonts w:ascii="Times New Roman" w:hAnsi="Times New Roman"/>
                  <w:color w:val="006fc4"/>
                  <w:sz w:val="18"/>
                </w:rPr>
                <w:t>Hamilton v. Zimmerman, 37 Tenn. (5 Sneed) 39 (1857)</w:t>
              </w:r>
            </w:hyperlink>
            <w:r>
              <w:rPr>
                <w:rFonts w:ascii="Times New Roman" w:hAnsi="Times New Roman"/>
                <w:color w:val="1f1f1f"/>
                <w:sz w:val="18"/>
              </w:rPr>
              <w:t>. See generally Henkin, supra note 7, at 1713 (describing the first use of judicial estoppel by the Tennessee Supreme Court); T.H. Malone, The Tennessee Law of Judicial Estoppel, 1 Tenn. L. Rev. 1 (1922) (describing early development of judicial estoppel doctrine in Tennessee).</w:t>
            </w:r>
          </w:p>
        </w:tc>
      </w:tr>
      <w:tr>
        <w:tblPrEx/>
        <w:trPr/>
        <w:tc>
          <w:tcPr>
            <w:vAlign w:val="top"/>
          </w:tcPr>
          <w:p>
            <w:pPr>
              <w:spacing w:before="0" w:after="0" w:line="275" w:lineRule="atLeast"/>
            </w:pPr>
            <w:bookmarkStart w:id="264" w:name="co_footnote_F26110408358_1"/>
            <w:hyperlink w:anchor="co_fnRef_F26110408358_ID0ESUAE_1">
              <w:r>
                <w:rPr>
                  <w:rFonts w:ascii="Times New Roman" w:hAnsi="Times New Roman"/>
                  <w:color w:val="006fc4"/>
                  <w:sz w:val="18"/>
                  <w:vertAlign w:val="superscript"/>
                </w:rPr>
                <w:t>26</w:t>
              </w:r>
            </w:hyperlink>
            <w:bookmarkEnd w:id="264"/>
          </w:p>
        </w:tc>
        <w:tc>
          <w:tcPr>
            <w:tcMar>
              <w:top w:w="90" w:type="dxa"/>
              <w:bottom w:w="90" w:type="dxa"/>
            </w:tcMar>
            <w:vAlign w:val="top"/>
          </w:tcPr>
          <w:p>
            <w:pPr>
              <w:pBdr>
                <w:bottom w:val="none" w:space="8"/>
              </w:pBdr>
              <w:spacing w:before="0" w:after="0" w:line="255" w:lineRule="atLeast"/>
              <w:jc w:val="both"/>
            </w:pPr>
            <w:hyperlink r:id="r34">
              <w:r>
                <w:rPr>
                  <w:rFonts w:ascii="Times New Roman" w:hAnsi="Times New Roman"/>
                  <w:color w:val="006fc4"/>
                  <w:sz w:val="18"/>
                </w:rPr>
                <w:t>Scarano v. Central R.R. Co., 203 F.2d 510, 513 (3d Cir. 1953)</w:t>
              </w:r>
            </w:hyperlink>
            <w:r>
              <w:rPr>
                <w:rFonts w:ascii="Times New Roman" w:hAnsi="Times New Roman"/>
                <w:color w:val="1f1f1f"/>
                <w:sz w:val="18"/>
              </w:rPr>
              <w:t>.</w:t>
            </w:r>
          </w:p>
        </w:tc>
      </w:tr>
      <w:tr>
        <w:tblPrEx/>
        <w:trPr/>
        <w:tc>
          <w:tcPr>
            <w:vAlign w:val="top"/>
          </w:tcPr>
          <w:p>
            <w:pPr>
              <w:spacing w:before="0" w:after="0" w:line="275" w:lineRule="atLeast"/>
            </w:pPr>
            <w:bookmarkStart w:id="265" w:name="co_footnote_F27110408358_1"/>
            <w:hyperlink w:anchor="co_fnRef_F27110408358_ID0EAVAE_1">
              <w:r>
                <w:rPr>
                  <w:rFonts w:ascii="Times New Roman" w:hAnsi="Times New Roman"/>
                  <w:color w:val="006fc4"/>
                  <w:sz w:val="18"/>
                  <w:vertAlign w:val="superscript"/>
                </w:rPr>
                <w:t>27</w:t>
              </w:r>
            </w:hyperlink>
            <w:bookmarkEnd w:id="265"/>
          </w:p>
        </w:tc>
        <w:tc>
          <w:tcPr>
            <w:tcMar>
              <w:top w:w="90" w:type="dxa"/>
              <w:bottom w:w="90" w:type="dxa"/>
            </w:tcMar>
            <w:vAlign w:val="top"/>
          </w:tcPr>
          <w:p>
            <w:pPr>
              <w:pBdr>
                <w:bottom w:val="none" w:space="8"/>
              </w:pBdr>
              <w:spacing w:before="0" w:after="0" w:line="255" w:lineRule="atLeast"/>
              <w:jc w:val="both"/>
            </w:pPr>
            <w:hyperlink r:id="r35">
              <w:r>
                <w:rPr>
                  <w:rFonts w:ascii="Times New Roman" w:hAnsi="Times New Roman"/>
                  <w:color w:val="006fc4"/>
                  <w:sz w:val="18"/>
                </w:rPr>
                <w:t>AFN, Inc. v. Schlott, Inc., 798 F. Supp. 219, 227 n.12 (D.N.J. 1992)</w:t>
              </w:r>
            </w:hyperlink>
            <w:r>
              <w:rPr>
                <w:rFonts w:ascii="Times New Roman" w:hAnsi="Times New Roman"/>
                <w:color w:val="1f1f1f"/>
                <w:sz w:val="18"/>
              </w:rPr>
              <w:t>.</w:t>
            </w:r>
          </w:p>
        </w:tc>
      </w:tr>
      <w:tr>
        <w:tblPrEx/>
        <w:trPr/>
        <w:tc>
          <w:tcPr>
            <w:vAlign w:val="top"/>
          </w:tcPr>
          <w:p>
            <w:pPr>
              <w:spacing w:before="0" w:after="0" w:line="275" w:lineRule="atLeast"/>
            </w:pPr>
            <w:bookmarkStart w:id="266" w:name="co_footnote_F28110408358_1"/>
            <w:hyperlink w:anchor="co_fnRef_F28110408358_ID0EFVAE_1">
              <w:r>
                <w:rPr>
                  <w:rFonts w:ascii="Times New Roman" w:hAnsi="Times New Roman"/>
                  <w:color w:val="006fc4"/>
                  <w:sz w:val="18"/>
                  <w:vertAlign w:val="superscript"/>
                </w:rPr>
                <w:t>28</w:t>
              </w:r>
            </w:hyperlink>
            <w:bookmarkEnd w:id="266"/>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 xml:space="preserve">See </w:t>
            </w:r>
            <w:hyperlink r:id="r36">
              <w:r>
                <w:rPr>
                  <w:rFonts w:ascii="Times New Roman" w:hAnsi="Times New Roman"/>
                  <w:color w:val="006fc4"/>
                  <w:sz w:val="18"/>
                </w:rPr>
                <w:t>Scarano, 203 F.2d at 513.</w:t>
              </w:r>
            </w:hyperlink>
          </w:p>
        </w:tc>
      </w:tr>
      <w:tr>
        <w:tblPrEx/>
        <w:trPr/>
        <w:tc>
          <w:tcPr>
            <w:vAlign w:val="top"/>
          </w:tcPr>
          <w:p>
            <w:pPr>
              <w:spacing w:before="0" w:after="0" w:line="275" w:lineRule="atLeast"/>
            </w:pPr>
            <w:bookmarkStart w:id="267" w:name="co_footnote_F29110408358_1"/>
            <w:hyperlink w:anchor="co_fnRef_F29110408358_ID0EIVAE_1">
              <w:r>
                <w:rPr>
                  <w:rFonts w:ascii="Times New Roman" w:hAnsi="Times New Roman"/>
                  <w:color w:val="006fc4"/>
                  <w:sz w:val="18"/>
                  <w:vertAlign w:val="superscript"/>
                </w:rPr>
                <w:t>29</w:t>
              </w:r>
            </w:hyperlink>
            <w:bookmarkEnd w:id="267"/>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 xml:space="preserve">See </w:t>
            </w:r>
            <w:hyperlink r:id="r37">
              <w:r>
                <w:rPr>
                  <w:rFonts w:ascii="Times New Roman" w:hAnsi="Times New Roman"/>
                  <w:color w:val="006fc4"/>
                  <w:sz w:val="18"/>
                </w:rPr>
                <w:t>Andrews v. Diamond, Rash, Leslie &amp; Smith, 959 S.W.2d 646, 650 (Tex. App.--El Paso 1997, writ denied)</w:t>
              </w:r>
            </w:hyperlink>
            <w:r>
              <w:rPr>
                <w:rFonts w:ascii="Times New Roman" w:hAnsi="Times New Roman"/>
                <w:color w:val="1f1f1f"/>
                <w:sz w:val="18"/>
              </w:rPr>
              <w:t>.</w:t>
            </w:r>
          </w:p>
        </w:tc>
      </w:tr>
      <w:tr>
        <w:tblPrEx/>
        <w:trPr/>
        <w:tc>
          <w:tcPr>
            <w:vAlign w:val="top"/>
          </w:tcPr>
          <w:p>
            <w:pPr>
              <w:spacing w:before="0" w:after="0" w:line="275" w:lineRule="atLeast"/>
            </w:pPr>
            <w:bookmarkStart w:id="268" w:name="co_footnote_F30110408358_1"/>
            <w:hyperlink w:anchor="co_fnRef_F30110408358_ID0EMVAE_1">
              <w:r>
                <w:rPr>
                  <w:rFonts w:ascii="Times New Roman" w:hAnsi="Times New Roman"/>
                  <w:color w:val="006fc4"/>
                  <w:sz w:val="18"/>
                  <w:vertAlign w:val="superscript"/>
                </w:rPr>
                <w:t>30</w:t>
              </w:r>
            </w:hyperlink>
            <w:bookmarkEnd w:id="268"/>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See Wright, supra note 9, § 4477, at 779.</w:t>
            </w:r>
          </w:p>
        </w:tc>
      </w:tr>
      <w:tr>
        <w:tblPrEx/>
        <w:trPr/>
        <w:tc>
          <w:tcPr>
            <w:vAlign w:val="top"/>
          </w:tcPr>
          <w:p>
            <w:pPr>
              <w:spacing w:before="0" w:after="0" w:line="275" w:lineRule="atLeast"/>
            </w:pPr>
            <w:bookmarkStart w:id="269" w:name="co_footnote_F31110408358_1"/>
            <w:hyperlink w:anchor="co_fnRef_F31110408358_ID0E2VAE_1">
              <w:r>
                <w:rPr>
                  <w:rFonts w:ascii="Times New Roman" w:hAnsi="Times New Roman"/>
                  <w:color w:val="006fc4"/>
                  <w:sz w:val="18"/>
                  <w:vertAlign w:val="superscript"/>
                </w:rPr>
                <w:t>31</w:t>
              </w:r>
            </w:hyperlink>
            <w:bookmarkEnd w:id="269"/>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See Henkin, supra note 7, at 1717-18.</w:t>
            </w:r>
          </w:p>
        </w:tc>
      </w:tr>
      <w:tr>
        <w:tblPrEx/>
        <w:trPr/>
        <w:tc>
          <w:tcPr>
            <w:vAlign w:val="top"/>
          </w:tcPr>
          <w:p>
            <w:pPr>
              <w:spacing w:before="0" w:after="0" w:line="275" w:lineRule="atLeast"/>
            </w:pPr>
            <w:bookmarkStart w:id="270" w:name="co_footnote_F32110408358_1"/>
            <w:hyperlink w:anchor="co_fnRef_F32110408358_ID0EFWAE_1">
              <w:r>
                <w:rPr>
                  <w:rFonts w:ascii="Times New Roman" w:hAnsi="Times New Roman"/>
                  <w:color w:val="006fc4"/>
                  <w:sz w:val="18"/>
                  <w:vertAlign w:val="superscript"/>
                </w:rPr>
                <w:t>32</w:t>
              </w:r>
            </w:hyperlink>
            <w:bookmarkEnd w:id="270"/>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 xml:space="preserve">Plumer, supra note 11, at 415. Indeed, that was apparently Learned Hand's opinion of the issue. See </w:t>
            </w:r>
            <w:hyperlink r:id="r38">
              <w:r>
                <w:rPr>
                  <w:rFonts w:ascii="Times New Roman" w:hAnsi="Times New Roman"/>
                  <w:color w:val="006fc4"/>
                  <w:sz w:val="18"/>
                </w:rPr>
                <w:t>Bertha Bldg. Corp. v. National Theaters Corp., 248 F.2d 833, 837 (2d Cir. 1957)</w:t>
              </w:r>
            </w:hyperlink>
            <w:r>
              <w:rPr>
                <w:rFonts w:ascii="Times New Roman" w:hAnsi="Times New Roman"/>
                <w:color w:val="1f1f1f"/>
                <w:sz w:val="18"/>
              </w:rPr>
              <w:t xml:space="preserve"> (Hand, J., dissenting). Judge Hand noted the lack of authority in support of a theory of judicial estoppel and stated:</w:t>
            </w:r>
          </w:p>
          <w:p>
            <w:pPr>
              <w:pBdr>
                <w:bottom w:val="none" w:space="8"/>
              </w:pBdr>
              <w:spacing w:before="0" w:after="0" w:line="255" w:lineRule="atLeast"/>
              <w:jc w:val="both"/>
            </w:pPr>
            <w:r>
              <w:rPr>
                <w:rFonts w:ascii="Times New Roman" w:hAnsi="Times New Roman"/>
                <w:color w:val="1f1f1f"/>
                <w:sz w:val="18"/>
              </w:rPr>
              <w:t>Judgment by estoppel is not designed as a moral sanction against inconsistency: it does not visit penalties upon those who take one position today and deny it tomorrow; it is designed only to prevent a party who has, or has not, prevailed upon an issue in an earlier action to vex the same antagonist with the same dispute in a later one.</w:t>
            </w:r>
          </w:p>
        </w:tc>
      </w:tr>
      <w:tr>
        <w:tblPrEx/>
        <w:trPr/>
        <w:tc>
          <w:tcPr>
            <w:vAlign w:val="top"/>
          </w:tcPr>
          <w:p>
            <w:pPr>
              <w:spacing w:before="0" w:after="0" w:line="275" w:lineRule="atLeast"/>
            </w:pPr>
            <w:bookmarkStart w:id="271" w:name="co_footnote_F33110408358_1"/>
            <w:hyperlink w:anchor="co_fnRef_F33110408358_ID0EIWAE_1">
              <w:r>
                <w:rPr>
                  <w:rFonts w:ascii="Times New Roman" w:hAnsi="Times New Roman"/>
                  <w:color w:val="006fc4"/>
                  <w:sz w:val="18"/>
                  <w:vertAlign w:val="superscript"/>
                </w:rPr>
                <w:t>33</w:t>
              </w:r>
            </w:hyperlink>
            <w:bookmarkEnd w:id="271"/>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 xml:space="preserve">See </w:t>
            </w:r>
            <w:hyperlink r:id="r39">
              <w:r>
                <w:rPr>
                  <w:rFonts w:ascii="Times New Roman" w:hAnsi="Times New Roman"/>
                  <w:color w:val="006fc4"/>
                  <w:sz w:val="18"/>
                </w:rPr>
                <w:t>Lowery v. Stovall, 92 F.3d 219, 223 n.3 (4th Cir. 1996)</w:t>
              </w:r>
            </w:hyperlink>
            <w:r>
              <w:rPr>
                <w:rFonts w:ascii="Times New Roman" w:hAnsi="Times New Roman"/>
                <w:color w:val="1f1f1f"/>
                <w:sz w:val="18"/>
              </w:rPr>
              <w:t>; Plumer, supra note 11, at 433-35; see also Wright, supra note 9, § 4477, at 787 (noting that courts do not apply a mutuality requirement “if judicial outrage is sufficient” at a litigant's inconsistencies).</w:t>
            </w:r>
          </w:p>
        </w:tc>
      </w:tr>
      <w:tr>
        <w:tblPrEx/>
        <w:trPr/>
        <w:tc>
          <w:tcPr>
            <w:vAlign w:val="top"/>
          </w:tcPr>
          <w:p>
            <w:pPr>
              <w:spacing w:before="0" w:after="0" w:line="275" w:lineRule="atLeast"/>
            </w:pPr>
            <w:bookmarkStart w:id="272" w:name="co_footnote_F34110408358_1"/>
            <w:hyperlink w:anchor="co_fnRef_F34110408358_ID0ENWAE_1">
              <w:r>
                <w:rPr>
                  <w:rFonts w:ascii="Times New Roman" w:hAnsi="Times New Roman"/>
                  <w:color w:val="006fc4"/>
                  <w:sz w:val="18"/>
                  <w:vertAlign w:val="superscript"/>
                </w:rPr>
                <w:t>34</w:t>
              </w:r>
            </w:hyperlink>
            <w:bookmarkEnd w:id="272"/>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 xml:space="preserve">See </w:t>
            </w:r>
            <w:hyperlink r:id="r40">
              <w:r>
                <w:rPr>
                  <w:rFonts w:ascii="Times New Roman" w:hAnsi="Times New Roman"/>
                  <w:color w:val="006fc4"/>
                  <w:sz w:val="18"/>
                </w:rPr>
                <w:t>Lowery, 92 F.3d at 223 n.3.</w:t>
              </w:r>
            </w:hyperlink>
          </w:p>
        </w:tc>
      </w:tr>
      <w:tr>
        <w:tblPrEx/>
        <w:trPr/>
        <w:tc>
          <w:tcPr>
            <w:vAlign w:val="top"/>
          </w:tcPr>
          <w:p>
            <w:pPr>
              <w:spacing w:before="0" w:after="0" w:line="275" w:lineRule="atLeast"/>
            </w:pPr>
            <w:bookmarkStart w:id="273" w:name="co_footnote_F35110408358_1"/>
            <w:hyperlink w:anchor="co_fnRef_F35110408358_ID0ESWAE_1">
              <w:r>
                <w:rPr>
                  <w:rFonts w:ascii="Times New Roman" w:hAnsi="Times New Roman"/>
                  <w:color w:val="006fc4"/>
                  <w:sz w:val="18"/>
                  <w:vertAlign w:val="superscript"/>
                </w:rPr>
                <w:t>35</w:t>
              </w:r>
            </w:hyperlink>
            <w:bookmarkEnd w:id="273"/>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See Wright, supra note 9, § 4477, at 779.</w:t>
            </w:r>
          </w:p>
        </w:tc>
      </w:tr>
      <w:tr>
        <w:tblPrEx/>
        <w:trPr/>
        <w:tc>
          <w:tcPr>
            <w:vAlign w:val="top"/>
          </w:tcPr>
          <w:p>
            <w:pPr>
              <w:spacing w:before="0" w:after="0" w:line="275" w:lineRule="atLeast"/>
            </w:pPr>
            <w:bookmarkStart w:id="274" w:name="co_footnote_F36110408358_1"/>
            <w:hyperlink w:anchor="co_fnRef_F36110408358_ID0EKXAE_1">
              <w:r>
                <w:rPr>
                  <w:rFonts w:ascii="Times New Roman" w:hAnsi="Times New Roman"/>
                  <w:color w:val="006fc4"/>
                  <w:sz w:val="18"/>
                  <w:vertAlign w:val="superscript"/>
                </w:rPr>
                <w:t>36</w:t>
              </w:r>
            </w:hyperlink>
            <w:bookmarkEnd w:id="274"/>
          </w:p>
        </w:tc>
        <w:tc>
          <w:tcPr>
            <w:tcMar>
              <w:top w:w="90" w:type="dxa"/>
              <w:bottom w:w="90" w:type="dxa"/>
            </w:tcMar>
            <w:vAlign w:val="top"/>
          </w:tcPr>
          <w:p>
            <w:pPr>
              <w:pBdr>
                <w:bottom w:val="none" w:space="8"/>
              </w:pBdr>
              <w:spacing w:before="0" w:after="0" w:line="255" w:lineRule="atLeast"/>
              <w:jc w:val="both"/>
            </w:pPr>
            <w:hyperlink r:id="r41">
              <w:r>
                <w:rPr>
                  <w:rFonts w:ascii="Times New Roman" w:hAnsi="Times New Roman"/>
                  <w:color w:val="006fc4"/>
                  <w:sz w:val="18"/>
                </w:rPr>
                <w:t>Bates v. Long Island R.R. Corp., 997 F.2d 1028, 1038 (2d Cir. 1993)</w:t>
              </w:r>
            </w:hyperlink>
            <w:r>
              <w:rPr>
                <w:rFonts w:ascii="Times New Roman" w:hAnsi="Times New Roman"/>
                <w:color w:val="1f1f1f"/>
                <w:sz w:val="18"/>
              </w:rPr>
              <w:t>.</w:t>
            </w:r>
          </w:p>
        </w:tc>
      </w:tr>
      <w:tr>
        <w:tblPrEx/>
        <w:trPr/>
        <w:tc>
          <w:tcPr>
            <w:vAlign w:val="top"/>
          </w:tcPr>
          <w:p>
            <w:pPr>
              <w:spacing w:before="0" w:after="0" w:line="275" w:lineRule="atLeast"/>
            </w:pPr>
            <w:bookmarkStart w:id="275" w:name="co_footnote_F37110408358_1"/>
            <w:hyperlink w:anchor="co_fnRef_F37110408358_ID0EPXAE_1">
              <w:r>
                <w:rPr>
                  <w:rFonts w:ascii="Times New Roman" w:hAnsi="Times New Roman"/>
                  <w:color w:val="006fc4"/>
                  <w:sz w:val="18"/>
                  <w:vertAlign w:val="superscript"/>
                </w:rPr>
                <w:t>37</w:t>
              </w:r>
            </w:hyperlink>
            <w:bookmarkEnd w:id="275"/>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See Malone, supra note 25, at 1 (stating that the Tennessee law of judicial estoppel is based “solely upon that public policy that upholds the sanctity of an oath and precludes a party who has made a sworn statement--even in another litigation--from repudiating the same when he thinks it to his advantage to do so”).</w:t>
            </w:r>
          </w:p>
        </w:tc>
      </w:tr>
      <w:tr>
        <w:tblPrEx/>
        <w:trPr/>
        <w:tc>
          <w:tcPr>
            <w:vAlign w:val="top"/>
          </w:tcPr>
          <w:p>
            <w:pPr>
              <w:spacing w:before="0" w:after="0" w:line="275" w:lineRule="atLeast"/>
            </w:pPr>
            <w:bookmarkStart w:id="276" w:name="co_footnote_F38110408358_1"/>
            <w:hyperlink w:anchor="co_fnRef_F38110408358_ID0EUXAE_1">
              <w:r>
                <w:rPr>
                  <w:rFonts w:ascii="Times New Roman" w:hAnsi="Times New Roman"/>
                  <w:color w:val="006fc4"/>
                  <w:sz w:val="18"/>
                  <w:vertAlign w:val="superscript"/>
                </w:rPr>
                <w:t>38</w:t>
              </w:r>
            </w:hyperlink>
            <w:bookmarkEnd w:id="276"/>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See generally Henkin, supra note 7, at 1756-60.</w:t>
            </w:r>
          </w:p>
        </w:tc>
      </w:tr>
      <w:tr>
        <w:tblPrEx/>
        <w:trPr/>
        <w:tc>
          <w:tcPr>
            <w:vAlign w:val="top"/>
          </w:tcPr>
          <w:p>
            <w:pPr>
              <w:spacing w:before="0" w:after="0" w:line="275" w:lineRule="atLeast"/>
            </w:pPr>
            <w:bookmarkStart w:id="277" w:name="co_footnote_F39110408358_1"/>
            <w:hyperlink w:anchor="co_fnRef_F39110408358_ID0EXXAE_1">
              <w:r>
                <w:rPr>
                  <w:rFonts w:ascii="Times New Roman" w:hAnsi="Times New Roman"/>
                  <w:color w:val="006fc4"/>
                  <w:sz w:val="18"/>
                  <w:vertAlign w:val="superscript"/>
                </w:rPr>
                <w:t>39</w:t>
              </w:r>
            </w:hyperlink>
            <w:bookmarkEnd w:id="277"/>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See Boyers, supra note 23, at 1245.</w:t>
            </w:r>
          </w:p>
        </w:tc>
      </w:tr>
      <w:tr>
        <w:tblPrEx/>
        <w:trPr/>
        <w:tc>
          <w:tcPr>
            <w:vAlign w:val="top"/>
          </w:tcPr>
          <w:p>
            <w:pPr>
              <w:spacing w:before="0" w:after="0" w:line="275" w:lineRule="atLeast"/>
            </w:pPr>
            <w:bookmarkStart w:id="278" w:name="co_footnote_F40110408358_1"/>
            <w:hyperlink w:anchor="co_fnRef_F40110408358_ID0E6XAE_1">
              <w:r>
                <w:rPr>
                  <w:rFonts w:ascii="Times New Roman" w:hAnsi="Times New Roman"/>
                  <w:color w:val="006fc4"/>
                  <w:sz w:val="18"/>
                  <w:vertAlign w:val="superscript"/>
                </w:rPr>
                <w:t>40</w:t>
              </w:r>
            </w:hyperlink>
            <w:bookmarkEnd w:id="278"/>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See infra notes 111-13 and accompanying text.</w:t>
            </w:r>
          </w:p>
        </w:tc>
      </w:tr>
      <w:tr>
        <w:tblPrEx/>
        <w:trPr/>
        <w:tc>
          <w:tcPr>
            <w:vAlign w:val="top"/>
          </w:tcPr>
          <w:p>
            <w:pPr>
              <w:spacing w:before="0" w:after="0" w:line="275" w:lineRule="atLeast"/>
            </w:pPr>
            <w:bookmarkStart w:id="279" w:name="co_footnote_F41110408358_1"/>
            <w:hyperlink w:anchor="co_fnRef_F41110408358_ID0EDYAE_1">
              <w:r>
                <w:rPr>
                  <w:rFonts w:ascii="Times New Roman" w:hAnsi="Times New Roman"/>
                  <w:color w:val="006fc4"/>
                  <w:sz w:val="18"/>
                  <w:vertAlign w:val="superscript"/>
                </w:rPr>
                <w:t>41</w:t>
              </w:r>
            </w:hyperlink>
            <w:bookmarkEnd w:id="279"/>
          </w:p>
        </w:tc>
        <w:tc>
          <w:tcPr>
            <w:tcMar>
              <w:top w:w="90" w:type="dxa"/>
              <w:bottom w:w="90" w:type="dxa"/>
            </w:tcMar>
            <w:vAlign w:val="top"/>
          </w:tcPr>
          <w:p>
            <w:pPr>
              <w:pBdr>
                <w:bottom w:val="none" w:space="8"/>
              </w:pBdr>
              <w:spacing w:before="0" w:after="0" w:line="255" w:lineRule="atLeast"/>
              <w:jc w:val="both"/>
            </w:pPr>
            <w:hyperlink r:id="r42">
              <w:r>
                <w:rPr>
                  <w:rFonts w:ascii="Times New Roman" w:hAnsi="Times New Roman"/>
                  <w:color w:val="006fc4"/>
                  <w:sz w:val="18"/>
                </w:rPr>
                <w:t>State v. Towery, 920 P.2d 290, 305 (Ariz. 1996)</w:t>
              </w:r>
            </w:hyperlink>
            <w:r>
              <w:rPr>
                <w:rFonts w:ascii="Times New Roman" w:hAnsi="Times New Roman"/>
                <w:color w:val="1f1f1f"/>
                <w:sz w:val="18"/>
              </w:rPr>
              <w:t xml:space="preserve"> (citing Boyers, supra note 23, at 1263)); see also </w:t>
            </w:r>
            <w:hyperlink r:id="r43">
              <w:r>
                <w:rPr>
                  <w:rFonts w:ascii="Times New Roman" w:hAnsi="Times New Roman"/>
                  <w:color w:val="006fc4"/>
                  <w:sz w:val="18"/>
                </w:rPr>
                <w:t>Allen v. Zurich Ins. Co., 667 F.2d 1162, 1167 (4th Cir. 1982)</w:t>
              </w:r>
            </w:hyperlink>
            <w:r>
              <w:rPr>
                <w:rFonts w:ascii="Times New Roman" w:hAnsi="Times New Roman"/>
                <w:color w:val="1f1f1f"/>
                <w:sz w:val="18"/>
              </w:rPr>
              <w:t xml:space="preserve"> (“[A]ssertion of a legally irrelevant, albeit inconsistent, position should seldom, if ever, lead to the application of judicial estoppel.”).</w:t>
            </w:r>
          </w:p>
        </w:tc>
      </w:tr>
      <w:tr>
        <w:tblPrEx/>
        <w:trPr/>
        <w:tc>
          <w:tcPr>
            <w:vAlign w:val="top"/>
          </w:tcPr>
          <w:p>
            <w:pPr>
              <w:spacing w:before="0" w:after="0" w:line="275" w:lineRule="atLeast"/>
            </w:pPr>
            <w:bookmarkStart w:id="280" w:name="co_footnote_F42110408358_1"/>
            <w:hyperlink w:anchor="co_fnRef_F42110408358_ID0EWYAE_1">
              <w:r>
                <w:rPr>
                  <w:rFonts w:ascii="Times New Roman" w:hAnsi="Times New Roman"/>
                  <w:color w:val="006fc4"/>
                  <w:sz w:val="18"/>
                  <w:vertAlign w:val="superscript"/>
                </w:rPr>
                <w:t>42</w:t>
              </w:r>
            </w:hyperlink>
            <w:bookmarkEnd w:id="280"/>
          </w:p>
        </w:tc>
        <w:tc>
          <w:tcPr>
            <w:tcMar>
              <w:top w:w="90" w:type="dxa"/>
              <w:bottom w:w="90" w:type="dxa"/>
            </w:tcMar>
            <w:vAlign w:val="top"/>
          </w:tcPr>
          <w:p>
            <w:pPr>
              <w:pBdr>
                <w:bottom w:val="none" w:space="8"/>
              </w:pBdr>
              <w:spacing w:before="0" w:after="0" w:line="255" w:lineRule="atLeast"/>
              <w:jc w:val="both"/>
            </w:pPr>
            <w:hyperlink r:id="r44">
              <w:r>
                <w:rPr>
                  <w:rFonts w:ascii="Times New Roman" w:hAnsi="Times New Roman"/>
                  <w:color w:val="006fc4"/>
                  <w:sz w:val="18"/>
                </w:rPr>
                <w:t>General Signal Corp. v. MCI Telecomm. Corp., 66 F.3d 1500, 1505 (9th Cir. 1995)</w:t>
              </w:r>
            </w:hyperlink>
            <w:r>
              <w:rPr>
                <w:rFonts w:ascii="Times New Roman" w:hAnsi="Times New Roman"/>
                <w:color w:val="1f1f1f"/>
                <w:sz w:val="18"/>
              </w:rPr>
              <w:t>.</w:t>
            </w:r>
          </w:p>
        </w:tc>
      </w:tr>
      <w:tr>
        <w:tblPrEx/>
        <w:trPr/>
        <w:tc>
          <w:tcPr>
            <w:vAlign w:val="top"/>
          </w:tcPr>
          <w:p>
            <w:pPr>
              <w:spacing w:before="0" w:after="0" w:line="275" w:lineRule="atLeast"/>
            </w:pPr>
            <w:bookmarkStart w:id="281" w:name="co_footnote_F43110408358_1"/>
            <w:hyperlink w:anchor="co_fnRef_F43110408358_ID0EZYAE_1">
              <w:r>
                <w:rPr>
                  <w:rFonts w:ascii="Times New Roman" w:hAnsi="Times New Roman"/>
                  <w:color w:val="006fc4"/>
                  <w:sz w:val="18"/>
                  <w:vertAlign w:val="superscript"/>
                </w:rPr>
                <w:t>43</w:t>
              </w:r>
            </w:hyperlink>
            <w:bookmarkEnd w:id="281"/>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Wright, supra note 9 § 4477, at 783-84.</w:t>
            </w:r>
          </w:p>
        </w:tc>
      </w:tr>
      <w:tr>
        <w:tblPrEx/>
        <w:trPr/>
        <w:tc>
          <w:tcPr>
            <w:vAlign w:val="top"/>
          </w:tcPr>
          <w:p>
            <w:pPr>
              <w:spacing w:before="0" w:after="0" w:line="275" w:lineRule="atLeast"/>
            </w:pPr>
            <w:bookmarkStart w:id="282" w:name="co_footnote_F44110408358_1"/>
            <w:hyperlink w:anchor="co_fnRef_F44110408358_ID0E3YAE_1">
              <w:r>
                <w:rPr>
                  <w:rFonts w:ascii="Times New Roman" w:hAnsi="Times New Roman"/>
                  <w:color w:val="006fc4"/>
                  <w:sz w:val="18"/>
                  <w:vertAlign w:val="superscript"/>
                </w:rPr>
                <w:t>44</w:t>
              </w:r>
            </w:hyperlink>
            <w:bookmarkEnd w:id="282"/>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 xml:space="preserve">Note, The </w:t>
            </w:r>
            <w:hyperlink r:id="r45">
              <w:r>
                <w:rPr>
                  <w:rFonts w:ascii="Times New Roman" w:hAnsi="Times New Roman"/>
                  <w:color w:val="006fc4"/>
                  <w:sz w:val="18"/>
                </w:rPr>
                <w:t>Doctrine of Preclusion Against Inconsistent Positions in Judicial Proceedings, 59 Harv. L. Rev. 1132, 1136 (1946)</w:t>
              </w:r>
            </w:hyperlink>
            <w:r>
              <w:rPr>
                <w:rFonts w:ascii="Times New Roman" w:hAnsi="Times New Roman"/>
                <w:color w:val="1f1f1f"/>
                <w:sz w:val="18"/>
              </w:rPr>
              <w:t xml:space="preserve"> [hereinafter The Doctrine of Preclusion].</w:t>
            </w:r>
          </w:p>
        </w:tc>
      </w:tr>
      <w:tr>
        <w:tblPrEx/>
        <w:trPr/>
        <w:tc>
          <w:tcPr>
            <w:vAlign w:val="top"/>
          </w:tcPr>
          <w:p>
            <w:pPr>
              <w:spacing w:before="0" w:after="0" w:line="275" w:lineRule="atLeast"/>
            </w:pPr>
            <w:bookmarkStart w:id="283" w:name="co_footnote_F45110408358_1"/>
            <w:hyperlink w:anchor="co_fnRef_F45110408358_ID0EBZAE_1">
              <w:r>
                <w:rPr>
                  <w:rFonts w:ascii="Times New Roman" w:hAnsi="Times New Roman"/>
                  <w:color w:val="006fc4"/>
                  <w:sz w:val="18"/>
                  <w:vertAlign w:val="superscript"/>
                </w:rPr>
                <w:t>45</w:t>
              </w:r>
            </w:hyperlink>
            <w:bookmarkEnd w:id="283"/>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Moore, supra note 9 § 134.30, at 134-65.</w:t>
            </w:r>
          </w:p>
        </w:tc>
      </w:tr>
      <w:tr>
        <w:tblPrEx/>
        <w:trPr/>
        <w:tc>
          <w:tcPr>
            <w:vAlign w:val="top"/>
          </w:tcPr>
          <w:p>
            <w:pPr>
              <w:spacing w:before="0" w:after="0" w:line="275" w:lineRule="atLeast"/>
            </w:pPr>
            <w:bookmarkStart w:id="284" w:name="co_footnote_F46110408358_1"/>
            <w:hyperlink w:anchor="co_fnRef_F46110408358_ID0EEZAE_1">
              <w:r>
                <w:rPr>
                  <w:rFonts w:ascii="Times New Roman" w:hAnsi="Times New Roman"/>
                  <w:color w:val="006fc4"/>
                  <w:sz w:val="18"/>
                  <w:vertAlign w:val="superscript"/>
                </w:rPr>
                <w:t>46</w:t>
              </w:r>
            </w:hyperlink>
            <w:bookmarkEnd w:id="284"/>
          </w:p>
        </w:tc>
        <w:tc>
          <w:tcPr>
            <w:tcMar>
              <w:top w:w="90" w:type="dxa"/>
              <w:bottom w:w="90" w:type="dxa"/>
            </w:tcMar>
            <w:vAlign w:val="top"/>
          </w:tcPr>
          <w:p>
            <w:pPr>
              <w:pBdr>
                <w:bottom w:val="none" w:space="8"/>
              </w:pBdr>
              <w:spacing w:before="0" w:after="0" w:line="255" w:lineRule="atLeast"/>
              <w:jc w:val="both"/>
            </w:pPr>
            <w:hyperlink r:id="r46">
              <w:r>
                <w:rPr>
                  <w:rFonts w:ascii="Times New Roman" w:hAnsi="Times New Roman"/>
                  <w:color w:val="006fc4"/>
                  <w:sz w:val="18"/>
                </w:rPr>
                <w:t>Pennsylvania Pharm. Ass'n v. Casey, 800 F. Supp. 173, 175 (M.D. Pa. 1992)</w:t>
              </w:r>
            </w:hyperlink>
            <w:r>
              <w:rPr>
                <w:rFonts w:ascii="Times New Roman" w:hAnsi="Times New Roman"/>
                <w:color w:val="1f1f1f"/>
                <w:sz w:val="18"/>
              </w:rPr>
              <w:t>.</w:t>
            </w:r>
          </w:p>
        </w:tc>
      </w:tr>
      <w:tr>
        <w:tblPrEx/>
        <w:trPr/>
        <w:tc>
          <w:tcPr>
            <w:vAlign w:val="top"/>
          </w:tcPr>
          <w:p>
            <w:pPr>
              <w:spacing w:before="0" w:after="0" w:line="275" w:lineRule="atLeast"/>
            </w:pPr>
            <w:bookmarkStart w:id="285" w:name="co_footnote_F47110408358_1"/>
            <w:hyperlink w:anchor="co_fnRef_F47110408358_ID0EQZAE_1">
              <w:r>
                <w:rPr>
                  <w:rFonts w:ascii="Times New Roman" w:hAnsi="Times New Roman"/>
                  <w:color w:val="006fc4"/>
                  <w:sz w:val="18"/>
                  <w:vertAlign w:val="superscript"/>
                </w:rPr>
                <w:t>47</w:t>
              </w:r>
            </w:hyperlink>
            <w:bookmarkEnd w:id="285"/>
          </w:p>
        </w:tc>
        <w:tc>
          <w:tcPr>
            <w:tcMar>
              <w:top w:w="90" w:type="dxa"/>
              <w:bottom w:w="90" w:type="dxa"/>
            </w:tcMar>
            <w:vAlign w:val="top"/>
          </w:tcPr>
          <w:p>
            <w:pPr>
              <w:pBdr>
                <w:bottom w:val="none" w:space="8"/>
              </w:pBdr>
              <w:spacing w:before="0" w:after="0" w:line="255" w:lineRule="atLeast"/>
              <w:jc w:val="both"/>
            </w:pPr>
            <w:hyperlink r:id="r47">
              <w:r>
                <w:rPr>
                  <w:rFonts w:ascii="Times New Roman" w:hAnsi="Times New Roman"/>
                  <w:color w:val="006fc4"/>
                  <w:sz w:val="18"/>
                </w:rPr>
                <w:t>Long Island Lighting Co. v. TransAmerican DeLaval, 646 F. Supp. 1442, 1448 (S.D.N.Y. 1986)</w:t>
              </w:r>
            </w:hyperlink>
            <w:r>
              <w:rPr>
                <w:rFonts w:ascii="Times New Roman" w:hAnsi="Times New Roman"/>
                <w:color w:val="1f1f1f"/>
                <w:sz w:val="18"/>
              </w:rPr>
              <w:t>.</w:t>
            </w:r>
          </w:p>
        </w:tc>
      </w:tr>
      <w:tr>
        <w:tblPrEx/>
        <w:trPr/>
        <w:tc>
          <w:tcPr>
            <w:vAlign w:val="top"/>
          </w:tcPr>
          <w:p>
            <w:pPr>
              <w:spacing w:before="0" w:after="0" w:line="275" w:lineRule="atLeast"/>
            </w:pPr>
            <w:bookmarkStart w:id="286" w:name="co_footnote_F48110408358_1"/>
            <w:hyperlink w:anchor="co_fnRef_F48110408358_ID0EWZAE_1">
              <w:r>
                <w:rPr>
                  <w:rFonts w:ascii="Times New Roman" w:hAnsi="Times New Roman"/>
                  <w:color w:val="006fc4"/>
                  <w:sz w:val="18"/>
                  <w:vertAlign w:val="superscript"/>
                </w:rPr>
                <w:t>48</w:t>
              </w:r>
            </w:hyperlink>
            <w:bookmarkEnd w:id="286"/>
          </w:p>
        </w:tc>
        <w:tc>
          <w:tcPr>
            <w:tcMar>
              <w:top w:w="90" w:type="dxa"/>
              <w:bottom w:w="90" w:type="dxa"/>
            </w:tcMar>
            <w:vAlign w:val="top"/>
          </w:tcPr>
          <w:p>
            <w:pPr>
              <w:pBdr>
                <w:bottom w:val="none" w:space="8"/>
              </w:pBdr>
              <w:spacing w:before="0" w:after="0" w:line="255" w:lineRule="atLeast"/>
              <w:jc w:val="both"/>
            </w:pPr>
            <w:hyperlink r:id="r48">
              <w:r>
                <w:rPr>
                  <w:rFonts w:ascii="Times New Roman" w:hAnsi="Times New Roman"/>
                  <w:color w:val="006fc4"/>
                  <w:sz w:val="18"/>
                </w:rPr>
                <w:t>Ryan Operations G.P. v. Santiam-Midwest Lumber Co., 81 F.3d 355, 360 (3d Cir. 1996)</w:t>
              </w:r>
            </w:hyperlink>
            <w:r>
              <w:rPr>
                <w:rFonts w:ascii="Times New Roman" w:hAnsi="Times New Roman"/>
                <w:color w:val="1f1f1f"/>
                <w:sz w:val="18"/>
              </w:rPr>
              <w:t>.</w:t>
            </w:r>
          </w:p>
        </w:tc>
      </w:tr>
      <w:tr>
        <w:tblPrEx/>
        <w:trPr/>
        <w:tc>
          <w:tcPr>
            <w:vAlign w:val="top"/>
          </w:tcPr>
          <w:p>
            <w:pPr>
              <w:spacing w:before="0" w:after="0" w:line="275" w:lineRule="atLeast"/>
            </w:pPr>
            <w:bookmarkStart w:id="287" w:name="co_footnote_F49110408358_1"/>
            <w:hyperlink w:anchor="co_fnRef_F49110408358_ID0EA1AE_1">
              <w:r>
                <w:rPr>
                  <w:rFonts w:ascii="Times New Roman" w:hAnsi="Times New Roman"/>
                  <w:color w:val="006fc4"/>
                  <w:sz w:val="18"/>
                  <w:vertAlign w:val="superscript"/>
                </w:rPr>
                <w:t>49</w:t>
              </w:r>
            </w:hyperlink>
            <w:bookmarkEnd w:id="287"/>
          </w:p>
        </w:tc>
        <w:tc>
          <w:tcPr>
            <w:tcMar>
              <w:top w:w="90" w:type="dxa"/>
              <w:bottom w:w="90" w:type="dxa"/>
            </w:tcMar>
            <w:vAlign w:val="top"/>
          </w:tcPr>
          <w:p>
            <w:pPr>
              <w:pBdr>
                <w:bottom w:val="none" w:space="8"/>
              </w:pBdr>
              <w:spacing w:before="0" w:after="0" w:line="255" w:lineRule="atLeast"/>
              <w:jc w:val="both"/>
            </w:pPr>
            <w:hyperlink r:id="r49">
              <w:r>
                <w:rPr>
                  <w:rFonts w:ascii="Times New Roman" w:hAnsi="Times New Roman"/>
                  <w:color w:val="006fc4"/>
                  <w:sz w:val="18"/>
                </w:rPr>
                <w:t>Simon v. Safelite Glass Corp., 128 F.3d 68, 72-73 (2d Cir. 1997)</w:t>
              </w:r>
            </w:hyperlink>
            <w:r>
              <w:rPr>
                <w:rFonts w:ascii="Times New Roman" w:hAnsi="Times New Roman"/>
                <w:color w:val="1f1f1f"/>
                <w:sz w:val="18"/>
              </w:rPr>
              <w:t>.</w:t>
            </w:r>
          </w:p>
        </w:tc>
      </w:tr>
      <w:tr>
        <w:tblPrEx/>
        <w:trPr/>
        <w:tc>
          <w:tcPr>
            <w:vAlign w:val="top"/>
          </w:tcPr>
          <w:p>
            <w:pPr>
              <w:spacing w:before="0" w:after="0" w:line="275" w:lineRule="atLeast"/>
            </w:pPr>
            <w:bookmarkStart w:id="288" w:name="co_footnote_F50110408358_1"/>
            <w:hyperlink w:anchor="co_fnRef_F50110408358_ID0ED1AE_1">
              <w:r>
                <w:rPr>
                  <w:rFonts w:ascii="Times New Roman" w:hAnsi="Times New Roman"/>
                  <w:color w:val="006fc4"/>
                  <w:sz w:val="18"/>
                  <w:vertAlign w:val="superscript"/>
                </w:rPr>
                <w:t>50</w:t>
              </w:r>
            </w:hyperlink>
            <w:bookmarkEnd w:id="288"/>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See Plumer, supra note 11, at 411 n.12 (arguing that courts should not apply judicial estoppel unless the change in position is truly inconsistent); The Doctrine of Preclusion, supra note 44, at 1136 &amp; n.35 (“The distinction is not in practice an easy one to make.”).</w:t>
            </w:r>
          </w:p>
        </w:tc>
      </w:tr>
      <w:tr>
        <w:tblPrEx/>
        <w:trPr/>
        <w:tc>
          <w:tcPr>
            <w:vAlign w:val="top"/>
          </w:tcPr>
          <w:p>
            <w:pPr>
              <w:spacing w:before="0" w:after="0" w:line="275" w:lineRule="atLeast"/>
            </w:pPr>
            <w:bookmarkStart w:id="289" w:name="co_footnote_F51110408358_1"/>
            <w:hyperlink w:anchor="co_fnRef_F51110408358_ID0EG1AE_1">
              <w:r>
                <w:rPr>
                  <w:rFonts w:ascii="Times New Roman" w:hAnsi="Times New Roman"/>
                  <w:color w:val="006fc4"/>
                  <w:sz w:val="18"/>
                  <w:vertAlign w:val="superscript"/>
                </w:rPr>
                <w:t>51</w:t>
              </w:r>
            </w:hyperlink>
            <w:bookmarkEnd w:id="289"/>
          </w:p>
        </w:tc>
        <w:tc>
          <w:tcPr>
            <w:tcMar>
              <w:top w:w="90" w:type="dxa"/>
              <w:bottom w:w="90" w:type="dxa"/>
            </w:tcMar>
            <w:vAlign w:val="top"/>
          </w:tcPr>
          <w:p>
            <w:pPr>
              <w:pBdr>
                <w:bottom w:val="none" w:space="8"/>
              </w:pBdr>
              <w:spacing w:before="0" w:after="0" w:line="255" w:lineRule="atLeast"/>
              <w:jc w:val="both"/>
            </w:pPr>
            <w:hyperlink r:id="r50">
              <w:r>
                <w:rPr>
                  <w:rFonts w:ascii="Times New Roman" w:hAnsi="Times New Roman"/>
                  <w:color w:val="006fc4"/>
                  <w:sz w:val="18"/>
                </w:rPr>
                <w:t>Jackson Jordan, Inc. v. Plasser Am. Corp., 747 F.2d 1567, 1579 (Fed. Cir. 1984)</w:t>
              </w:r>
            </w:hyperlink>
            <w:r>
              <w:rPr>
                <w:rFonts w:ascii="Times New Roman" w:hAnsi="Times New Roman"/>
                <w:color w:val="1f1f1f"/>
                <w:sz w:val="18"/>
              </w:rPr>
              <w:t xml:space="preserve">; see also </w:t>
            </w:r>
            <w:hyperlink r:id="r51">
              <w:r>
                <w:rPr>
                  <w:rFonts w:ascii="Times New Roman" w:hAnsi="Times New Roman"/>
                  <w:color w:val="006fc4"/>
                  <w:sz w:val="18"/>
                </w:rPr>
                <w:t>Desjardins v. Van Buren Community Hosp., 37 F.3d 21, 23 (1st Cir. 1994)</w:t>
              </w:r>
            </w:hyperlink>
            <w:r>
              <w:rPr>
                <w:rFonts w:ascii="Times New Roman" w:hAnsi="Times New Roman"/>
                <w:color w:val="1f1f1f"/>
                <w:sz w:val="18"/>
              </w:rPr>
              <w:t xml:space="preserve"> (“Of course, what is legitimate pleading in one context may be negligent or even fraudulent in another.”).</w:t>
            </w:r>
          </w:p>
        </w:tc>
      </w:tr>
      <w:tr>
        <w:tblPrEx/>
        <w:trPr/>
        <w:tc>
          <w:tcPr>
            <w:vAlign w:val="top"/>
          </w:tcPr>
          <w:p>
            <w:pPr>
              <w:spacing w:before="0" w:after="0" w:line="275" w:lineRule="atLeast"/>
            </w:pPr>
            <w:bookmarkStart w:id="290" w:name="co_footnote_F52110408358_1"/>
            <w:hyperlink w:anchor="co_fnRef_F52110408358_ID0EK1AE_1">
              <w:r>
                <w:rPr>
                  <w:rFonts w:ascii="Times New Roman" w:hAnsi="Times New Roman"/>
                  <w:color w:val="006fc4"/>
                  <w:sz w:val="18"/>
                  <w:vertAlign w:val="superscript"/>
                </w:rPr>
                <w:t>52</w:t>
              </w:r>
            </w:hyperlink>
            <w:bookmarkEnd w:id="290"/>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See Henkin, supra note 7, at 1741 (“In order to apply the doctrine, a court must analyze the consistency of the statement, and that analysis may itself be flawed .... The problem lies with the ‘close cases' which appear facially inconsistent, but may not be.”).</w:t>
            </w:r>
          </w:p>
        </w:tc>
      </w:tr>
      <w:tr>
        <w:tblPrEx/>
        <w:trPr/>
        <w:tc>
          <w:tcPr>
            <w:vAlign w:val="top"/>
          </w:tcPr>
          <w:p>
            <w:pPr>
              <w:spacing w:before="0" w:after="0" w:line="275" w:lineRule="atLeast"/>
            </w:pPr>
            <w:bookmarkStart w:id="291" w:name="co_footnote_F53110408358_1"/>
            <w:hyperlink w:anchor="co_fnRef_F53110408358_ID0E61AE_1">
              <w:r>
                <w:rPr>
                  <w:rFonts w:ascii="Times New Roman" w:hAnsi="Times New Roman"/>
                  <w:color w:val="006fc4"/>
                  <w:sz w:val="18"/>
                  <w:vertAlign w:val="superscript"/>
                </w:rPr>
                <w:t>53</w:t>
              </w:r>
            </w:hyperlink>
            <w:bookmarkEnd w:id="291"/>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 xml:space="preserve">See </w:t>
            </w:r>
            <w:hyperlink r:id="r52">
              <w:r>
                <w:rPr>
                  <w:rFonts w:ascii="Times New Roman" w:hAnsi="Times New Roman"/>
                  <w:color w:val="006fc4"/>
                  <w:sz w:val="18"/>
                </w:rPr>
                <w:t>Bates v. Long Island R.R. Co., 997 F.2d 1028, 1038 (2d Cir. 1993)</w:t>
              </w:r>
            </w:hyperlink>
            <w:r>
              <w:rPr>
                <w:rFonts w:ascii="Times New Roman" w:hAnsi="Times New Roman"/>
                <w:color w:val="1f1f1f"/>
                <w:sz w:val="18"/>
              </w:rPr>
              <w:t>.</w:t>
            </w:r>
          </w:p>
        </w:tc>
      </w:tr>
      <w:tr>
        <w:tblPrEx/>
        <w:trPr/>
        <w:tc>
          <w:tcPr>
            <w:vAlign w:val="top"/>
          </w:tcPr>
          <w:p>
            <w:pPr>
              <w:spacing w:before="0" w:after="0" w:line="275" w:lineRule="atLeast"/>
            </w:pPr>
            <w:bookmarkStart w:id="292" w:name="co_footnote_F54110408358_1"/>
            <w:hyperlink w:anchor="co_fnRef_F54110408358_ID0EM2AE_1">
              <w:r>
                <w:rPr>
                  <w:rFonts w:ascii="Times New Roman" w:hAnsi="Times New Roman"/>
                  <w:color w:val="006fc4"/>
                  <w:sz w:val="18"/>
                  <w:vertAlign w:val="superscript"/>
                </w:rPr>
                <w:t>54</w:t>
              </w:r>
            </w:hyperlink>
            <w:bookmarkEnd w:id="292"/>
          </w:p>
        </w:tc>
        <w:tc>
          <w:tcPr>
            <w:tcMar>
              <w:top w:w="90" w:type="dxa"/>
              <w:bottom w:w="90" w:type="dxa"/>
            </w:tcMar>
            <w:vAlign w:val="top"/>
          </w:tcPr>
          <w:p>
            <w:pPr>
              <w:pBdr>
                <w:bottom w:val="none" w:space="8"/>
              </w:pBdr>
              <w:spacing w:before="0" w:after="0" w:line="255" w:lineRule="atLeast"/>
              <w:jc w:val="both"/>
            </w:pPr>
            <w:hyperlink r:id="r53">
              <w:r>
                <w:rPr>
                  <w:rFonts w:ascii="Times New Roman" w:hAnsi="Times New Roman"/>
                  <w:color w:val="006fc4"/>
                  <w:sz w:val="18"/>
                </w:rPr>
                <w:t>Rissetto v. Plumbers &amp; Steamfitters Local 343, 94 F.3d 597, 605 (9th Cir. 1996)</w:t>
              </w:r>
            </w:hyperlink>
            <w:r>
              <w:rPr>
                <w:rFonts w:ascii="Times New Roman" w:hAnsi="Times New Roman"/>
                <w:color w:val="1f1f1f"/>
                <w:sz w:val="18"/>
              </w:rPr>
              <w:t xml:space="preserve"> (quoting </w:t>
            </w:r>
            <w:hyperlink r:id="r54">
              <w:r>
                <w:rPr>
                  <w:rFonts w:ascii="Times New Roman" w:hAnsi="Times New Roman"/>
                  <w:color w:val="006fc4"/>
                  <w:sz w:val="18"/>
                </w:rPr>
                <w:t>Kale v. Obuchowski, 985 F.2d 360, 362 (7th Cir. 1993)</w:t>
              </w:r>
            </w:hyperlink>
            <w:r>
              <w:rPr>
                <w:rFonts w:ascii="Times New Roman" w:hAnsi="Times New Roman"/>
                <w:color w:val="1f1f1f"/>
                <w:sz w:val="18"/>
              </w:rPr>
              <w:t>).</w:t>
            </w:r>
          </w:p>
        </w:tc>
      </w:tr>
      <w:tr>
        <w:tblPrEx/>
        <w:trPr/>
        <w:tc>
          <w:tcPr>
            <w:vAlign w:val="top"/>
          </w:tcPr>
          <w:p>
            <w:pPr>
              <w:spacing w:before="0" w:after="0" w:line="275" w:lineRule="atLeast"/>
            </w:pPr>
            <w:bookmarkStart w:id="293" w:name="co_footnote_F55110408358_1"/>
            <w:hyperlink w:anchor="co_fnRef_F55110408358_ID0E22AE_1">
              <w:r>
                <w:rPr>
                  <w:rFonts w:ascii="Times New Roman" w:hAnsi="Times New Roman"/>
                  <w:color w:val="006fc4"/>
                  <w:sz w:val="18"/>
                  <w:vertAlign w:val="superscript"/>
                </w:rPr>
                <w:t>55</w:t>
              </w:r>
            </w:hyperlink>
            <w:bookmarkEnd w:id="293"/>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 xml:space="preserve">See infra notes 129-30 and accompanying text; </w:t>
            </w:r>
            <w:hyperlink r:id="r55">
              <w:r>
                <w:rPr>
                  <w:rFonts w:ascii="Times New Roman" w:hAnsi="Times New Roman"/>
                  <w:color w:val="006fc4"/>
                  <w:sz w:val="18"/>
                </w:rPr>
                <w:t>Simon v. Safelite Glass Corp., 128 F.3d 68, 72</w:t>
              </w:r>
            </w:hyperlink>
            <w:r>
              <w:rPr>
                <w:rFonts w:ascii="Times New Roman" w:hAnsi="Times New Roman"/>
                <w:color w:val="1f1f1f"/>
                <w:sz w:val="18"/>
              </w:rPr>
              <w:t xml:space="preserve"> (noting that “a growing number of disputes are adjudicated before administrative agencies and tribunals”).</w:t>
            </w:r>
          </w:p>
        </w:tc>
      </w:tr>
      <w:tr>
        <w:tblPrEx/>
        <w:trPr/>
        <w:tc>
          <w:tcPr>
            <w:vAlign w:val="top"/>
          </w:tcPr>
          <w:p>
            <w:pPr>
              <w:spacing w:before="0" w:after="0" w:line="275" w:lineRule="atLeast"/>
            </w:pPr>
            <w:bookmarkStart w:id="294" w:name="co_footnote_F56110408358_1"/>
            <w:hyperlink w:anchor="co_fnRef_F56110408358_ID0E52AE_1">
              <w:r>
                <w:rPr>
                  <w:rFonts w:ascii="Times New Roman" w:hAnsi="Times New Roman"/>
                  <w:color w:val="006fc4"/>
                  <w:sz w:val="18"/>
                  <w:vertAlign w:val="superscript"/>
                </w:rPr>
                <w:t>56</w:t>
              </w:r>
            </w:hyperlink>
            <w:bookmarkEnd w:id="294"/>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 xml:space="preserve">See, e.g., </w:t>
            </w:r>
            <w:hyperlink r:id="r56">
              <w:r>
                <w:rPr>
                  <w:rFonts w:ascii="Times New Roman" w:hAnsi="Times New Roman"/>
                  <w:color w:val="006fc4"/>
                  <w:sz w:val="18"/>
                </w:rPr>
                <w:t>Edwards v. Aetna Life Ins. Co., 690 F.2d 595, 599 (6th Cir. 1982)</w:t>
              </w:r>
            </w:hyperlink>
            <w:r>
              <w:rPr>
                <w:rFonts w:ascii="Times New Roman" w:hAnsi="Times New Roman"/>
                <w:color w:val="1f1f1f"/>
                <w:sz w:val="18"/>
              </w:rPr>
              <w:t xml:space="preserve"> (applying judicial estoppel analysis when the prior case was a Veterans Administration proceeding).</w:t>
            </w:r>
          </w:p>
        </w:tc>
      </w:tr>
      <w:tr>
        <w:tblPrEx/>
        <w:trPr/>
        <w:tc>
          <w:tcPr>
            <w:vAlign w:val="top"/>
          </w:tcPr>
          <w:p>
            <w:pPr>
              <w:spacing w:before="0" w:after="0" w:line="275" w:lineRule="atLeast"/>
            </w:pPr>
            <w:bookmarkStart w:id="295" w:name="co_footnote_F57110408358_1"/>
            <w:hyperlink w:anchor="co_fnRef_F57110408358_ID0EH3AE_1">
              <w:r>
                <w:rPr>
                  <w:rFonts w:ascii="Times New Roman" w:hAnsi="Times New Roman"/>
                  <w:color w:val="006fc4"/>
                  <w:sz w:val="18"/>
                  <w:vertAlign w:val="superscript"/>
                </w:rPr>
                <w:t>57</w:t>
              </w:r>
            </w:hyperlink>
            <w:bookmarkEnd w:id="295"/>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 xml:space="preserve">See generally </w:t>
            </w:r>
            <w:hyperlink r:id="r57">
              <w:r>
                <w:rPr>
                  <w:rFonts w:ascii="Times New Roman" w:hAnsi="Times New Roman"/>
                  <w:color w:val="006fc4"/>
                  <w:sz w:val="18"/>
                </w:rPr>
                <w:t>Data General Corp. v. Johnson, 78 F.3d 1556, 1565 (Fed. Cir. 1996)</w:t>
              </w:r>
            </w:hyperlink>
            <w:r>
              <w:rPr>
                <w:rFonts w:ascii="Times New Roman" w:hAnsi="Times New Roman"/>
                <w:color w:val="1f1f1f"/>
                <w:sz w:val="18"/>
              </w:rPr>
              <w:t xml:space="preserve"> (noting that an administrative agency had authority, by analogy, to apply the doctrine in an appropriate case).</w:t>
            </w:r>
          </w:p>
        </w:tc>
      </w:tr>
      <w:tr>
        <w:tblPrEx/>
        <w:trPr/>
        <w:tc>
          <w:tcPr>
            <w:vAlign w:val="top"/>
          </w:tcPr>
          <w:p>
            <w:pPr>
              <w:spacing w:before="0" w:after="0" w:line="275" w:lineRule="atLeast"/>
            </w:pPr>
            <w:bookmarkStart w:id="296" w:name="co_footnote_F58110408358_1"/>
            <w:hyperlink w:anchor="co_fnRef_F58110408358_ID0EX3AE_1">
              <w:r>
                <w:rPr>
                  <w:rFonts w:ascii="Times New Roman" w:hAnsi="Times New Roman"/>
                  <w:color w:val="006fc4"/>
                  <w:sz w:val="18"/>
                  <w:vertAlign w:val="superscript"/>
                </w:rPr>
                <w:t>58</w:t>
              </w:r>
            </w:hyperlink>
            <w:bookmarkEnd w:id="296"/>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 xml:space="preserve">See </w:t>
            </w:r>
            <w:hyperlink r:id="r58">
              <w:r>
                <w:rPr>
                  <w:rFonts w:ascii="Times New Roman" w:hAnsi="Times New Roman"/>
                  <w:color w:val="006fc4"/>
                  <w:sz w:val="18"/>
                </w:rPr>
                <w:t>Colonial Refrigerated Transp. v. Mitchell, 403 F.2d 541, 550 (5th Cir. 1968)</w:t>
              </w:r>
            </w:hyperlink>
            <w:r>
              <w:rPr>
                <w:rFonts w:ascii="Times New Roman" w:hAnsi="Times New Roman"/>
                <w:color w:val="1f1f1f"/>
                <w:sz w:val="18"/>
              </w:rPr>
              <w:t xml:space="preserve">; supra notes 15-19 and accompanying text; see also </w:t>
            </w:r>
            <w:hyperlink r:id="r59">
              <w:r>
                <w:rPr>
                  <w:rFonts w:ascii="Times New Roman" w:hAnsi="Times New Roman"/>
                  <w:color w:val="006fc4"/>
                  <w:sz w:val="18"/>
                </w:rPr>
                <w:t>Cleveland v. Policy Management Sys. Corp., 120 F.3d 513, 516 (5th Cir. 1997)</w:t>
              </w:r>
            </w:hyperlink>
            <w:r>
              <w:rPr>
                <w:rFonts w:ascii="Times New Roman" w:hAnsi="Times New Roman"/>
                <w:color w:val="1f1f1f"/>
                <w:sz w:val="18"/>
              </w:rPr>
              <w:t>.</w:t>
            </w:r>
          </w:p>
        </w:tc>
      </w:tr>
      <w:tr>
        <w:tblPrEx/>
        <w:trPr/>
        <w:tc>
          <w:tcPr>
            <w:vAlign w:val="top"/>
          </w:tcPr>
          <w:p>
            <w:pPr>
              <w:spacing w:before="0" w:after="0" w:line="275" w:lineRule="atLeast"/>
            </w:pPr>
            <w:bookmarkStart w:id="297" w:name="co_footnote_F59110408358_1"/>
            <w:hyperlink w:anchor="co_fnRef_F59110408358_ID0E33AE_1">
              <w:r>
                <w:rPr>
                  <w:rFonts w:ascii="Times New Roman" w:hAnsi="Times New Roman"/>
                  <w:color w:val="006fc4"/>
                  <w:sz w:val="18"/>
                  <w:vertAlign w:val="superscript"/>
                </w:rPr>
                <w:t>59</w:t>
              </w:r>
            </w:hyperlink>
            <w:bookmarkEnd w:id="297"/>
          </w:p>
        </w:tc>
        <w:tc>
          <w:tcPr>
            <w:tcMar>
              <w:top w:w="90" w:type="dxa"/>
              <w:bottom w:w="90" w:type="dxa"/>
            </w:tcMar>
            <w:vAlign w:val="top"/>
          </w:tcPr>
          <w:p>
            <w:pPr>
              <w:pBdr>
                <w:bottom w:val="none" w:space="8"/>
              </w:pBdr>
              <w:spacing w:before="0" w:after="0" w:line="255" w:lineRule="atLeast"/>
              <w:jc w:val="both"/>
            </w:pPr>
            <w:hyperlink r:id="r60">
              <w:r>
                <w:rPr>
                  <w:rFonts w:ascii="Times New Roman" w:hAnsi="Times New Roman"/>
                  <w:color w:val="006fc4"/>
                  <w:sz w:val="18"/>
                </w:rPr>
                <w:t>Ergo Science, Inc. v. Martin, 73 F.3d 595, 598 (5th Cir. 1996)</w:t>
              </w:r>
            </w:hyperlink>
            <w:r>
              <w:rPr>
                <w:rFonts w:ascii="Times New Roman" w:hAnsi="Times New Roman"/>
                <w:color w:val="1f1f1f"/>
                <w:sz w:val="18"/>
              </w:rPr>
              <w:t>.</w:t>
            </w:r>
          </w:p>
        </w:tc>
      </w:tr>
      <w:tr>
        <w:tblPrEx/>
        <w:trPr/>
        <w:tc>
          <w:tcPr>
            <w:vAlign w:val="top"/>
          </w:tcPr>
          <w:p>
            <w:pPr>
              <w:spacing w:before="0" w:after="0" w:line="275" w:lineRule="atLeast"/>
            </w:pPr>
            <w:bookmarkStart w:id="298" w:name="co_footnote_F60110408358_1"/>
            <w:hyperlink w:anchor="co_fnRef_F60110408358_ID0EA4AE_1">
              <w:r>
                <w:rPr>
                  <w:rFonts w:ascii="Times New Roman" w:hAnsi="Times New Roman"/>
                  <w:color w:val="006fc4"/>
                  <w:sz w:val="18"/>
                  <w:vertAlign w:val="superscript"/>
                </w:rPr>
                <w:t>60</w:t>
              </w:r>
            </w:hyperlink>
            <w:bookmarkEnd w:id="298"/>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See Moore, supra note 9, § 134.30, at 134-66.</w:t>
            </w:r>
          </w:p>
        </w:tc>
      </w:tr>
      <w:tr>
        <w:tblPrEx/>
        <w:trPr/>
        <w:tc>
          <w:tcPr>
            <w:vAlign w:val="top"/>
          </w:tcPr>
          <w:p>
            <w:pPr>
              <w:spacing w:before="0" w:after="0" w:line="275" w:lineRule="atLeast"/>
            </w:pPr>
            <w:bookmarkStart w:id="299" w:name="co_footnote_F61110408358_1"/>
            <w:hyperlink w:anchor="co_fnRef_F61110408358_ID0EQ4AE_1">
              <w:r>
                <w:rPr>
                  <w:rFonts w:ascii="Times New Roman" w:hAnsi="Times New Roman"/>
                  <w:color w:val="006fc4"/>
                  <w:sz w:val="18"/>
                  <w:vertAlign w:val="superscript"/>
                </w:rPr>
                <w:t>61</w:t>
              </w:r>
            </w:hyperlink>
            <w:bookmarkEnd w:id="299"/>
          </w:p>
        </w:tc>
        <w:tc>
          <w:tcPr>
            <w:tcMar>
              <w:top w:w="90" w:type="dxa"/>
              <w:bottom w:w="90" w:type="dxa"/>
            </w:tcMar>
            <w:vAlign w:val="top"/>
          </w:tcPr>
          <w:p>
            <w:pPr>
              <w:pBdr>
                <w:bottom w:val="none" w:space="8"/>
              </w:pBdr>
              <w:spacing w:before="0" w:after="0" w:line="255" w:lineRule="atLeast"/>
              <w:jc w:val="both"/>
            </w:pPr>
            <w:hyperlink r:id="r61">
              <w:r>
                <w:rPr>
                  <w:rFonts w:ascii="Times New Roman" w:hAnsi="Times New Roman"/>
                  <w:color w:val="006fc4"/>
                  <w:sz w:val="18"/>
                </w:rPr>
                <w:t>233 F.2d 432 (10th Cir. 1956)</w:t>
              </w:r>
            </w:hyperlink>
          </w:p>
        </w:tc>
      </w:tr>
      <w:tr>
        <w:tblPrEx/>
        <w:trPr/>
        <w:tc>
          <w:tcPr>
            <w:vAlign w:val="top"/>
          </w:tcPr>
          <w:p>
            <w:pPr>
              <w:spacing w:before="0" w:after="0" w:line="275" w:lineRule="atLeast"/>
            </w:pPr>
            <w:bookmarkStart w:id="300" w:name="co_footnote_F62110408358_1"/>
            <w:hyperlink w:anchor="co_fnRef_F62110408358_ID0EV4AE_1">
              <w:r>
                <w:rPr>
                  <w:rFonts w:ascii="Times New Roman" w:hAnsi="Times New Roman"/>
                  <w:color w:val="006fc4"/>
                  <w:sz w:val="18"/>
                  <w:vertAlign w:val="superscript"/>
                </w:rPr>
                <w:t>62</w:t>
              </w:r>
            </w:hyperlink>
            <w:bookmarkEnd w:id="300"/>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 xml:space="preserve">See </w:t>
            </w:r>
            <w:hyperlink r:id="r62">
              <w:r>
                <w:rPr>
                  <w:rFonts w:ascii="Times New Roman" w:hAnsi="Times New Roman"/>
                  <w:color w:val="006fc4"/>
                  <w:sz w:val="18"/>
                </w:rPr>
                <w:t>id. at 438.</w:t>
              </w:r>
            </w:hyperlink>
          </w:p>
        </w:tc>
      </w:tr>
      <w:tr>
        <w:tblPrEx/>
        <w:trPr/>
        <w:tc>
          <w:tcPr>
            <w:vAlign w:val="top"/>
          </w:tcPr>
          <w:p>
            <w:pPr>
              <w:spacing w:before="0" w:after="0" w:line="275" w:lineRule="atLeast"/>
            </w:pPr>
            <w:bookmarkStart w:id="301" w:name="co_footnote_F63110408358_1"/>
            <w:hyperlink w:anchor="co_fnRef_F63110408358_ID0ED5AE_1">
              <w:r>
                <w:rPr>
                  <w:rFonts w:ascii="Times New Roman" w:hAnsi="Times New Roman"/>
                  <w:color w:val="006fc4"/>
                  <w:sz w:val="18"/>
                  <w:vertAlign w:val="superscript"/>
                </w:rPr>
                <w:t>63</w:t>
              </w:r>
            </w:hyperlink>
            <w:bookmarkEnd w:id="301"/>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Id.</w:t>
            </w:r>
          </w:p>
        </w:tc>
      </w:tr>
      <w:tr>
        <w:tblPrEx/>
        <w:trPr/>
        <w:tc>
          <w:tcPr>
            <w:vAlign w:val="top"/>
          </w:tcPr>
          <w:p>
            <w:pPr>
              <w:spacing w:before="0" w:after="0" w:line="275" w:lineRule="atLeast"/>
            </w:pPr>
            <w:bookmarkStart w:id="302" w:name="co_footnote_F64110408358_1"/>
            <w:hyperlink w:anchor="co_fnRef_F64110408358_ID0EZ5AE_1">
              <w:r>
                <w:rPr>
                  <w:rFonts w:ascii="Times New Roman" w:hAnsi="Times New Roman"/>
                  <w:color w:val="006fc4"/>
                  <w:sz w:val="18"/>
                  <w:vertAlign w:val="superscript"/>
                </w:rPr>
                <w:t>64</w:t>
              </w:r>
            </w:hyperlink>
            <w:bookmarkEnd w:id="302"/>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Id.</w:t>
            </w:r>
          </w:p>
        </w:tc>
      </w:tr>
      <w:tr>
        <w:tblPrEx/>
        <w:trPr/>
        <w:tc>
          <w:tcPr>
            <w:vAlign w:val="top"/>
          </w:tcPr>
          <w:p>
            <w:pPr>
              <w:spacing w:before="0" w:after="0" w:line="275" w:lineRule="atLeast"/>
            </w:pPr>
            <w:bookmarkStart w:id="303" w:name="co_footnote_F65110408358_1"/>
            <w:hyperlink w:anchor="co_fnRef_F65110408358_ID0EB6AE_1">
              <w:r>
                <w:rPr>
                  <w:rFonts w:ascii="Times New Roman" w:hAnsi="Times New Roman"/>
                  <w:color w:val="006fc4"/>
                  <w:sz w:val="18"/>
                  <w:vertAlign w:val="superscript"/>
                </w:rPr>
                <w:t>65</w:t>
              </w:r>
            </w:hyperlink>
            <w:bookmarkEnd w:id="303"/>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 xml:space="preserve">See, e.g., </w:t>
            </w:r>
            <w:hyperlink r:id="r63">
              <w:r>
                <w:rPr>
                  <w:rFonts w:ascii="Times New Roman" w:hAnsi="Times New Roman"/>
                  <w:color w:val="006fc4"/>
                  <w:sz w:val="18"/>
                </w:rPr>
                <w:t>Chrysler Credit Corp. v. Country Chrysler, Inc., 928 F.2d 1509, 1520 n.10 (10th Cir. 1991)</w:t>
              </w:r>
            </w:hyperlink>
            <w:r>
              <w:rPr>
                <w:rFonts w:ascii="Times New Roman" w:hAnsi="Times New Roman"/>
                <w:color w:val="1f1f1f"/>
                <w:sz w:val="18"/>
              </w:rPr>
              <w:t>.</w:t>
            </w:r>
          </w:p>
        </w:tc>
      </w:tr>
      <w:tr>
        <w:tblPrEx/>
        <w:trPr/>
        <w:tc>
          <w:tcPr>
            <w:vAlign w:val="top"/>
          </w:tcPr>
          <w:p>
            <w:pPr>
              <w:spacing w:before="0" w:after="0" w:line="275" w:lineRule="atLeast"/>
            </w:pPr>
            <w:bookmarkStart w:id="304" w:name="co_footnote_F66110408358_1"/>
            <w:hyperlink w:anchor="co_fnRef_F66110408358_ID0EF6AE_1">
              <w:r>
                <w:rPr>
                  <w:rFonts w:ascii="Times New Roman" w:hAnsi="Times New Roman"/>
                  <w:color w:val="006fc4"/>
                  <w:sz w:val="18"/>
                  <w:vertAlign w:val="superscript"/>
                </w:rPr>
                <w:t>66</w:t>
              </w:r>
            </w:hyperlink>
            <w:bookmarkEnd w:id="304"/>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 xml:space="preserve">See </w:t>
            </w:r>
            <w:hyperlink r:id="r64">
              <w:r>
                <w:rPr>
                  <w:rFonts w:ascii="Times New Roman" w:hAnsi="Times New Roman"/>
                  <w:color w:val="006fc4"/>
                  <w:sz w:val="18"/>
                </w:rPr>
                <w:t>Konstantinidis v. Chen, 626 F.2d 933, 938 (D.C. Cir. 1980)</w:t>
              </w:r>
            </w:hyperlink>
            <w:r>
              <w:rPr>
                <w:rFonts w:ascii="Times New Roman" w:hAnsi="Times New Roman"/>
                <w:color w:val="1f1f1f"/>
                <w:sz w:val="18"/>
              </w:rPr>
              <w:t xml:space="preserve">. But cf. </w:t>
            </w:r>
            <w:hyperlink r:id="r65">
              <w:r>
                <w:rPr>
                  <w:rFonts w:ascii="Times New Roman" w:hAnsi="Times New Roman"/>
                  <w:color w:val="006fc4"/>
                  <w:sz w:val="18"/>
                </w:rPr>
                <w:t>Weaver v. U.S. Info. Agency, 87 F.3d 1429, 1437 (D.C. Cir. 1996)</w:t>
              </w:r>
            </w:hyperlink>
            <w:r>
              <w:rPr>
                <w:rFonts w:ascii="Times New Roman" w:hAnsi="Times New Roman"/>
                <w:color w:val="1f1f1f"/>
                <w:sz w:val="18"/>
              </w:rPr>
              <w:t xml:space="preserve"> (emphasizing that a position put forward by a party must be adhered to later on because of due process requirements of fair notice).</w:t>
            </w:r>
          </w:p>
        </w:tc>
      </w:tr>
      <w:tr>
        <w:tblPrEx/>
        <w:trPr/>
        <w:tc>
          <w:tcPr>
            <w:vAlign w:val="top"/>
          </w:tcPr>
          <w:p>
            <w:pPr>
              <w:spacing w:before="0" w:after="0" w:line="275" w:lineRule="atLeast"/>
            </w:pPr>
            <w:bookmarkStart w:id="305" w:name="co_footnote_F67110408358_1"/>
            <w:hyperlink w:anchor="co_fnRef_F67110408358_ID0E16AE_1">
              <w:r>
                <w:rPr>
                  <w:rFonts w:ascii="Times New Roman" w:hAnsi="Times New Roman"/>
                  <w:color w:val="006fc4"/>
                  <w:sz w:val="18"/>
                  <w:vertAlign w:val="superscript"/>
                </w:rPr>
                <w:t>67</w:t>
              </w:r>
            </w:hyperlink>
            <w:bookmarkEnd w:id="305"/>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See, e.g., Wright, supra note 9, § 4477, at 786 (stating that the doctrine must not be allowed to interfere with the modern pleading rule that expressly permits pursuit of inconsistent positions within a single case); Henkin, supra note 7, at 1736-42 (asserting that the Tenth Circuit's refusal to apply judicial estoppel in Parkinson was meant to preserve the determination of cases on true facts).</w:t>
            </w:r>
          </w:p>
        </w:tc>
      </w:tr>
      <w:tr>
        <w:tblPrEx/>
        <w:trPr/>
        <w:tc>
          <w:tcPr>
            <w:vAlign w:val="top"/>
          </w:tcPr>
          <w:p>
            <w:pPr>
              <w:spacing w:before="0" w:after="0" w:line="275" w:lineRule="atLeast"/>
            </w:pPr>
            <w:bookmarkStart w:id="306" w:name="co_footnote_F68110408358_1"/>
            <w:hyperlink w:anchor="co_fnRef_F68110408358_ID0EAAAG_1">
              <w:r>
                <w:rPr>
                  <w:rFonts w:ascii="Times New Roman" w:hAnsi="Times New Roman"/>
                  <w:color w:val="006fc4"/>
                  <w:sz w:val="18"/>
                  <w:vertAlign w:val="superscript"/>
                </w:rPr>
                <w:t>68</w:t>
              </w:r>
            </w:hyperlink>
            <w:bookmarkEnd w:id="306"/>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 xml:space="preserve">See Deeks, supra note 12, at 881 &amp; nn. 37-38 (mentioning that several courts have explained convincingly that judicial estoppel acts to prevent inconsistency between different proceedings, not the inconsistency within a single proceeding that is permitted under </w:t>
            </w:r>
            <w:hyperlink r:id="r66">
              <w:r>
                <w:rPr>
                  <w:rFonts w:ascii="Times New Roman" w:hAnsi="Times New Roman"/>
                  <w:color w:val="006fc4"/>
                  <w:sz w:val="18"/>
                </w:rPr>
                <w:t>Rule 8(e)</w:t>
              </w:r>
            </w:hyperlink>
            <w:r>
              <w:rPr>
                <w:rFonts w:ascii="Times New Roman" w:hAnsi="Times New Roman"/>
                <w:color w:val="1f1f1f"/>
                <w:sz w:val="18"/>
              </w:rPr>
              <w:t>).</w:t>
            </w:r>
          </w:p>
        </w:tc>
      </w:tr>
      <w:tr>
        <w:tblPrEx/>
        <w:trPr/>
        <w:tc>
          <w:tcPr>
            <w:vAlign w:val="top"/>
          </w:tcPr>
          <w:p>
            <w:pPr>
              <w:spacing w:before="0" w:after="0" w:line="275" w:lineRule="atLeast"/>
            </w:pPr>
            <w:bookmarkStart w:id="307" w:name="co_footnote_F69110408358_1"/>
            <w:hyperlink w:anchor="co_fnRef_F69110408358_ID0EIAAG_1">
              <w:r>
                <w:rPr>
                  <w:rFonts w:ascii="Times New Roman" w:hAnsi="Times New Roman"/>
                  <w:color w:val="006fc4"/>
                  <w:sz w:val="18"/>
                  <w:vertAlign w:val="superscript"/>
                </w:rPr>
                <w:t>69</w:t>
              </w:r>
            </w:hyperlink>
            <w:bookmarkEnd w:id="307"/>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 xml:space="preserve">See </w:t>
            </w:r>
            <w:hyperlink r:id="r67">
              <w:r>
                <w:rPr>
                  <w:rFonts w:ascii="Times New Roman" w:hAnsi="Times New Roman"/>
                  <w:color w:val="006fc4"/>
                  <w:sz w:val="18"/>
                </w:rPr>
                <w:t>AFN, Inc. v. Schlott, Inc., 798 F. Supp. 219, 227 &amp; n.12 (D.N.J. 1992)</w:t>
              </w:r>
            </w:hyperlink>
            <w:r>
              <w:rPr>
                <w:rFonts w:ascii="Times New Roman" w:hAnsi="Times New Roman"/>
                <w:color w:val="1f1f1f"/>
                <w:sz w:val="18"/>
              </w:rPr>
              <w:t xml:space="preserve"> (holding that based on the strong public policy rationale underlying judicial estoppel, a party will not be allowed to argue inconsistent positions in simultaneous litigation in state and federal courts).</w:t>
            </w:r>
          </w:p>
        </w:tc>
      </w:tr>
      <w:tr>
        <w:tblPrEx/>
        <w:trPr/>
        <w:tc>
          <w:tcPr>
            <w:vAlign w:val="top"/>
          </w:tcPr>
          <w:p>
            <w:pPr>
              <w:spacing w:before="0" w:after="0" w:line="275" w:lineRule="atLeast"/>
            </w:pPr>
            <w:bookmarkStart w:id="308" w:name="co_footnote_F70110408358_1"/>
            <w:hyperlink w:anchor="co_fnRef_F70110408358_ID0EUAAG_1">
              <w:r>
                <w:rPr>
                  <w:rFonts w:ascii="Times New Roman" w:hAnsi="Times New Roman"/>
                  <w:color w:val="006fc4"/>
                  <w:sz w:val="18"/>
                  <w:vertAlign w:val="superscript"/>
                </w:rPr>
                <w:t>70</w:t>
              </w:r>
            </w:hyperlink>
            <w:bookmarkEnd w:id="308"/>
          </w:p>
        </w:tc>
        <w:tc>
          <w:tcPr>
            <w:tcMar>
              <w:top w:w="90" w:type="dxa"/>
              <w:bottom w:w="90" w:type="dxa"/>
            </w:tcMar>
            <w:vAlign w:val="top"/>
          </w:tcPr>
          <w:p>
            <w:pPr>
              <w:pBdr>
                <w:bottom w:val="none" w:space="8"/>
              </w:pBdr>
              <w:spacing w:before="0" w:after="0" w:line="255" w:lineRule="atLeast"/>
              <w:jc w:val="both"/>
            </w:pPr>
            <w:hyperlink r:id="r68">
              <w:r>
                <w:rPr>
                  <w:rFonts w:ascii="Times New Roman" w:hAnsi="Times New Roman"/>
                  <w:color w:val="006fc4"/>
                  <w:sz w:val="18"/>
                </w:rPr>
                <w:t>Allen v. Zurich Ins. Co., 667 F.2d 1162, 1167 (4th Cir. 1982)</w:t>
              </w:r>
            </w:hyperlink>
            <w:r>
              <w:rPr>
                <w:rFonts w:ascii="Times New Roman" w:hAnsi="Times New Roman"/>
                <w:color w:val="1f1f1f"/>
                <w:sz w:val="18"/>
              </w:rPr>
              <w:t>.</w:t>
            </w:r>
          </w:p>
        </w:tc>
      </w:tr>
      <w:tr>
        <w:tblPrEx/>
        <w:trPr/>
        <w:tc>
          <w:tcPr>
            <w:vAlign w:val="top"/>
          </w:tcPr>
          <w:p>
            <w:pPr>
              <w:spacing w:before="0" w:after="0" w:line="275" w:lineRule="atLeast"/>
            </w:pPr>
            <w:bookmarkStart w:id="309" w:name="co_footnote_F71110408358_1"/>
            <w:hyperlink w:anchor="co_fnRef_F71110408358_ID0EYAAG_1">
              <w:r>
                <w:rPr>
                  <w:rFonts w:ascii="Times New Roman" w:hAnsi="Times New Roman"/>
                  <w:color w:val="006fc4"/>
                  <w:sz w:val="18"/>
                  <w:vertAlign w:val="superscript"/>
                </w:rPr>
                <w:t>71</w:t>
              </w:r>
            </w:hyperlink>
            <w:bookmarkEnd w:id="309"/>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 xml:space="preserve">See </w:t>
            </w:r>
            <w:hyperlink r:id="r69">
              <w:r>
                <w:rPr>
                  <w:rFonts w:ascii="Times New Roman" w:hAnsi="Times New Roman"/>
                  <w:color w:val="006fc4"/>
                  <w:sz w:val="18"/>
                </w:rPr>
                <w:t>Patriot Cinemas, Inc. v. General Cinema Corp., 834 F.2d 208, 214 (1st Cir. 1997)</w:t>
              </w:r>
            </w:hyperlink>
            <w:r>
              <w:rPr>
                <w:rFonts w:ascii="Times New Roman" w:hAnsi="Times New Roman"/>
                <w:color w:val="1f1f1f"/>
                <w:sz w:val="18"/>
              </w:rPr>
              <w:t xml:space="preserve"> (noting that the integrity and efficacy of courts would suffer if parties were free to select contradictory positions before different tribunals).</w:t>
            </w:r>
          </w:p>
        </w:tc>
      </w:tr>
      <w:tr>
        <w:tblPrEx/>
        <w:trPr/>
        <w:tc>
          <w:tcPr>
            <w:vAlign w:val="top"/>
          </w:tcPr>
          <w:p>
            <w:pPr>
              <w:spacing w:before="0" w:after="0" w:line="275" w:lineRule="atLeast"/>
            </w:pPr>
            <w:bookmarkStart w:id="310" w:name="co_footnote_F72110408358_1"/>
            <w:hyperlink w:anchor="co_fnRef_F72110408358_ID0EOBAG_1">
              <w:r>
                <w:rPr>
                  <w:rFonts w:ascii="Times New Roman" w:hAnsi="Times New Roman"/>
                  <w:color w:val="006fc4"/>
                  <w:sz w:val="18"/>
                  <w:vertAlign w:val="superscript"/>
                </w:rPr>
                <w:t>72</w:t>
              </w:r>
            </w:hyperlink>
            <w:bookmarkEnd w:id="310"/>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See generally F. M. Scherer, Industrial Market Structure and Economic Performance 22 (1970); Herbert Hovenkamp, Economics and Federal Antitrust Law 37-39 (1985) (discussing decision-making in the face of uncertainty).</w:t>
            </w:r>
          </w:p>
        </w:tc>
      </w:tr>
      <w:tr>
        <w:tblPrEx/>
        <w:trPr/>
        <w:tc>
          <w:tcPr>
            <w:vAlign w:val="top"/>
          </w:tcPr>
          <w:p>
            <w:pPr>
              <w:spacing w:before="0" w:after="0" w:line="275" w:lineRule="atLeast"/>
            </w:pPr>
            <w:bookmarkStart w:id="311" w:name="co_footnote_F73110408358_1"/>
            <w:hyperlink w:anchor="co_fnRef_F73110408358_ID0EHCAG_1">
              <w:r>
                <w:rPr>
                  <w:rFonts w:ascii="Times New Roman" w:hAnsi="Times New Roman"/>
                  <w:color w:val="006fc4"/>
                  <w:sz w:val="18"/>
                  <w:vertAlign w:val="superscript"/>
                </w:rPr>
                <w:t>73</w:t>
              </w:r>
            </w:hyperlink>
            <w:bookmarkEnd w:id="311"/>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 xml:space="preserve">See 31 Michael H. Graham, </w:t>
            </w:r>
            <w:hyperlink r:id="r70">
              <w:r>
                <w:rPr>
                  <w:rFonts w:ascii="Times New Roman" w:hAnsi="Times New Roman"/>
                  <w:color w:val="006fc4"/>
                  <w:sz w:val="18"/>
                </w:rPr>
                <w:t>Federal Practice &amp; Procedure, § 6726</w:t>
              </w:r>
            </w:hyperlink>
            <w:r>
              <w:rPr>
                <w:rFonts w:ascii="Times New Roman" w:hAnsi="Times New Roman"/>
                <w:color w:val="1f1f1f"/>
                <w:sz w:val="18"/>
              </w:rPr>
              <w:t xml:space="preserve">, at 228 (2d ed. 1997); </w:t>
            </w:r>
            <w:hyperlink r:id="r71">
              <w:r>
                <w:rPr>
                  <w:rFonts w:ascii="Times New Roman" w:hAnsi="Times New Roman"/>
                  <w:color w:val="006fc4"/>
                  <w:sz w:val="18"/>
                </w:rPr>
                <w:t>2 McCormick on Evidence § 254, at 447-48 (John William Strong ed., 4th ed. 1992)</w:t>
              </w:r>
            </w:hyperlink>
            <w:r>
              <w:rPr>
                <w:rFonts w:ascii="Times New Roman" w:hAnsi="Times New Roman"/>
                <w:color w:val="1f1f1f"/>
                <w:sz w:val="18"/>
              </w:rPr>
              <w:t>.</w:t>
            </w:r>
          </w:p>
        </w:tc>
      </w:tr>
      <w:tr>
        <w:tblPrEx/>
        <w:trPr/>
        <w:tc>
          <w:tcPr>
            <w:vAlign w:val="top"/>
          </w:tcPr>
          <w:p>
            <w:pPr>
              <w:spacing w:before="0" w:after="0" w:line="275" w:lineRule="atLeast"/>
            </w:pPr>
            <w:bookmarkStart w:id="312" w:name="co_footnote_F74110408358_1"/>
            <w:hyperlink w:anchor="co_fnRef_F74110408358_ID0ELCAG_1">
              <w:r>
                <w:rPr>
                  <w:rFonts w:ascii="Times New Roman" w:hAnsi="Times New Roman"/>
                  <w:color w:val="006fc4"/>
                  <w:sz w:val="18"/>
                  <w:vertAlign w:val="superscript"/>
                </w:rPr>
                <w:t>74</w:t>
              </w:r>
            </w:hyperlink>
            <w:bookmarkEnd w:id="312"/>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 xml:space="preserve">See </w:t>
            </w:r>
            <w:hyperlink r:id="r72">
              <w:r>
                <w:rPr>
                  <w:rFonts w:ascii="Times New Roman" w:hAnsi="Times New Roman"/>
                  <w:color w:val="006fc4"/>
                  <w:sz w:val="18"/>
                </w:rPr>
                <w:t>Ted Finman, The Request for Admissions in Federal Civil Procedure, 71 Yale L.J. 371, 375-76 (1962)</w:t>
              </w:r>
            </w:hyperlink>
            <w:r>
              <w:rPr>
                <w:rFonts w:ascii="Times New Roman" w:hAnsi="Times New Roman"/>
                <w:color w:val="1f1f1f"/>
                <w:sz w:val="18"/>
              </w:rPr>
              <w:t xml:space="preserve">. The advisory committee notes for </w:t>
            </w:r>
            <w:hyperlink r:id="r73">
              <w:r>
                <w:rPr>
                  <w:rFonts w:ascii="Times New Roman" w:hAnsi="Times New Roman"/>
                  <w:color w:val="006fc4"/>
                  <w:sz w:val="18"/>
                </w:rPr>
                <w:t>Federal Rule of Civil Procedure 36</w:t>
              </w:r>
            </w:hyperlink>
            <w:r>
              <w:rPr>
                <w:rFonts w:ascii="Times New Roman" w:hAnsi="Times New Roman"/>
                <w:color w:val="1f1f1f"/>
                <w:sz w:val="18"/>
              </w:rPr>
              <w:t xml:space="preserve"> cite the Finman article on several occasions about the policies behind the rule. See </w:t>
            </w:r>
            <w:hyperlink r:id="r74">
              <w:r>
                <w:rPr>
                  <w:rFonts w:ascii="Times New Roman" w:hAnsi="Times New Roman"/>
                  <w:color w:val="006fc4"/>
                  <w:sz w:val="18"/>
                </w:rPr>
                <w:t>Fed. R. Civ. P. 36</w:t>
              </w:r>
            </w:hyperlink>
            <w:r>
              <w:rPr>
                <w:rFonts w:ascii="Times New Roman" w:hAnsi="Times New Roman"/>
                <w:color w:val="1f1f1f"/>
                <w:sz w:val="18"/>
              </w:rPr>
              <w:t xml:space="preserve"> advisory committee's note (1970).</w:t>
            </w:r>
          </w:p>
        </w:tc>
      </w:tr>
      <w:tr>
        <w:tblPrEx/>
        <w:trPr/>
        <w:tc>
          <w:tcPr>
            <w:vAlign w:val="top"/>
          </w:tcPr>
          <w:p>
            <w:pPr>
              <w:spacing w:before="0" w:after="0" w:line="275" w:lineRule="atLeast"/>
            </w:pPr>
            <w:bookmarkStart w:id="313" w:name="co_footnote_F75110408358_1"/>
            <w:hyperlink w:anchor="co_fnRef_F75110408358_ID0EDDAG_1">
              <w:r>
                <w:rPr>
                  <w:rFonts w:ascii="Times New Roman" w:hAnsi="Times New Roman"/>
                  <w:color w:val="006fc4"/>
                  <w:sz w:val="18"/>
                  <w:vertAlign w:val="superscript"/>
                </w:rPr>
                <w:t>75</w:t>
              </w:r>
            </w:hyperlink>
            <w:bookmarkEnd w:id="313"/>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 xml:space="preserve">See generally </w:t>
            </w:r>
            <w:hyperlink r:id="r75">
              <w:r>
                <w:rPr>
                  <w:rFonts w:ascii="Times New Roman" w:hAnsi="Times New Roman"/>
                  <w:color w:val="006fc4"/>
                  <w:sz w:val="18"/>
                </w:rPr>
                <w:t>Fed. R. Civ. P. 36</w:t>
              </w:r>
            </w:hyperlink>
            <w:r>
              <w:rPr>
                <w:rFonts w:ascii="Times New Roman" w:hAnsi="Times New Roman"/>
                <w:color w:val="1f1f1f"/>
                <w:sz w:val="18"/>
              </w:rPr>
              <w:t xml:space="preserve"> advisory committee's note (1970) (“In form and substance a </w:t>
            </w:r>
            <w:hyperlink r:id="r76">
              <w:r>
                <w:rPr>
                  <w:rFonts w:ascii="Times New Roman" w:hAnsi="Times New Roman"/>
                  <w:color w:val="006fc4"/>
                  <w:sz w:val="18"/>
                </w:rPr>
                <w:t>Rule 36</w:t>
              </w:r>
            </w:hyperlink>
            <w:r>
              <w:rPr>
                <w:rFonts w:ascii="Times New Roman" w:hAnsi="Times New Roman"/>
                <w:color w:val="1f1f1f"/>
                <w:sz w:val="18"/>
              </w:rPr>
              <w:t xml:space="preserve"> admission is comparable to an admission in pleadings or a stipulation drafted by counsel for use at trial, rather than to an evidentiary admission of a party.”).</w:t>
            </w:r>
          </w:p>
        </w:tc>
      </w:tr>
      <w:tr>
        <w:tblPrEx/>
        <w:trPr/>
        <w:tc>
          <w:tcPr>
            <w:vAlign w:val="top"/>
          </w:tcPr>
          <w:p>
            <w:pPr>
              <w:spacing w:before="0" w:after="0" w:line="275" w:lineRule="atLeast"/>
            </w:pPr>
            <w:bookmarkStart w:id="314" w:name="co_footnote_F76110408358_1"/>
            <w:hyperlink w:anchor="co_fnRef_F76110408358_ID0EGDAG_1">
              <w:r>
                <w:rPr>
                  <w:rFonts w:ascii="Times New Roman" w:hAnsi="Times New Roman"/>
                  <w:color w:val="006fc4"/>
                  <w:sz w:val="18"/>
                  <w:vertAlign w:val="superscript"/>
                </w:rPr>
                <w:t>76</w:t>
              </w:r>
            </w:hyperlink>
            <w:bookmarkEnd w:id="314"/>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 xml:space="preserve">See generally </w:t>
            </w:r>
            <w:hyperlink r:id="r77">
              <w:r>
                <w:rPr>
                  <w:rFonts w:ascii="Times New Roman" w:hAnsi="Times New Roman"/>
                  <w:color w:val="006fc4"/>
                  <w:sz w:val="18"/>
                </w:rPr>
                <w:t>Fed. R. Civ. P. 8</w:t>
              </w:r>
            </w:hyperlink>
            <w:r>
              <w:rPr>
                <w:rFonts w:ascii="Times New Roman" w:hAnsi="Times New Roman"/>
                <w:color w:val="1f1f1f"/>
                <w:sz w:val="18"/>
              </w:rPr>
              <w:t xml:space="preserve"> (requiring that the defendant admit or deny averments in an answer and that if the defendant fails to deny an allegation, then the allegation is deemed admitted).</w:t>
            </w:r>
          </w:p>
        </w:tc>
      </w:tr>
      <w:tr>
        <w:tblPrEx/>
        <w:trPr/>
        <w:tc>
          <w:tcPr>
            <w:vAlign w:val="top"/>
          </w:tcPr>
          <w:p>
            <w:pPr>
              <w:spacing w:before="0" w:after="0" w:line="275" w:lineRule="atLeast"/>
            </w:pPr>
            <w:bookmarkStart w:id="315" w:name="co_footnote_F77110408358_1"/>
            <w:hyperlink w:anchor="co_fnRef_F77110408358_ID0EJDAG_1">
              <w:r>
                <w:rPr>
                  <w:rFonts w:ascii="Times New Roman" w:hAnsi="Times New Roman"/>
                  <w:color w:val="006fc4"/>
                  <w:sz w:val="18"/>
                  <w:vertAlign w:val="superscript"/>
                </w:rPr>
                <w:t>77</w:t>
              </w:r>
            </w:hyperlink>
            <w:bookmarkEnd w:id="315"/>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 xml:space="preserve">See </w:t>
            </w:r>
            <w:hyperlink r:id="r78">
              <w:r>
                <w:rPr>
                  <w:rFonts w:ascii="Times New Roman" w:hAnsi="Times New Roman"/>
                  <w:color w:val="006fc4"/>
                  <w:sz w:val="18"/>
                </w:rPr>
                <w:t>Morales v. Dep't of the Army, 947 F.2d 766, 769 (5th Cir. 1991)</w:t>
              </w:r>
            </w:hyperlink>
            <w:r>
              <w:rPr>
                <w:rFonts w:ascii="Times New Roman" w:hAnsi="Times New Roman"/>
                <w:color w:val="1f1f1f"/>
                <w:sz w:val="18"/>
              </w:rPr>
              <w:t>.</w:t>
            </w:r>
          </w:p>
        </w:tc>
      </w:tr>
      <w:tr>
        <w:tblPrEx/>
        <w:trPr/>
        <w:tc>
          <w:tcPr>
            <w:vAlign w:val="top"/>
          </w:tcPr>
          <w:p>
            <w:pPr>
              <w:spacing w:before="0" w:after="0" w:line="275" w:lineRule="atLeast"/>
            </w:pPr>
            <w:bookmarkStart w:id="316" w:name="co_footnote_F78110408358_1"/>
            <w:hyperlink w:anchor="co_fnRef_F78110408358_ID0EMDAG_1">
              <w:r>
                <w:rPr>
                  <w:rFonts w:ascii="Times New Roman" w:hAnsi="Times New Roman"/>
                  <w:color w:val="006fc4"/>
                  <w:sz w:val="18"/>
                  <w:vertAlign w:val="superscript"/>
                </w:rPr>
                <w:t>78</w:t>
              </w:r>
            </w:hyperlink>
            <w:bookmarkEnd w:id="316"/>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 xml:space="preserve">See Graham, supra note 73, </w:t>
            </w:r>
            <w:hyperlink r:id="r79">
              <w:r>
                <w:rPr>
                  <w:rFonts w:ascii="Times New Roman" w:hAnsi="Times New Roman"/>
                  <w:color w:val="006fc4"/>
                  <w:sz w:val="18"/>
                </w:rPr>
                <w:t>§ 6726</w:t>
              </w:r>
            </w:hyperlink>
            <w:r>
              <w:rPr>
                <w:rFonts w:ascii="Times New Roman" w:hAnsi="Times New Roman"/>
                <w:color w:val="1f1f1f"/>
                <w:sz w:val="18"/>
              </w:rPr>
              <w:t>, at 230; Ediberto Roman, “</w:t>
            </w:r>
            <w:hyperlink r:id="r80">
              <w:r>
                <w:rPr>
                  <w:rFonts w:ascii="Times New Roman" w:hAnsi="Times New Roman"/>
                  <w:color w:val="006fc4"/>
                  <w:sz w:val="18"/>
                </w:rPr>
                <w:t>Your Honor What I Meant to State Was...”: A Comparative Analysis of the Judicial and Evidentiary Admissions Doctrines as Applied to Counsel Statements in Pleadings, Open Court, and Memoranda of Law, 22 Pepp. L. Rev. 981, 993, 998 (1995)</w:t>
              </w:r>
            </w:hyperlink>
            <w:r>
              <w:rPr>
                <w:rFonts w:ascii="Times New Roman" w:hAnsi="Times New Roman"/>
                <w:color w:val="1f1f1f"/>
                <w:sz w:val="18"/>
              </w:rPr>
              <w:t>.</w:t>
            </w:r>
          </w:p>
        </w:tc>
      </w:tr>
      <w:tr>
        <w:tblPrEx/>
        <w:trPr/>
        <w:tc>
          <w:tcPr>
            <w:vAlign w:val="top"/>
          </w:tcPr>
          <w:p>
            <w:pPr>
              <w:spacing w:before="0" w:after="0" w:line="275" w:lineRule="atLeast"/>
            </w:pPr>
            <w:bookmarkStart w:id="317" w:name="co_footnote_F79110408358_1"/>
            <w:hyperlink w:anchor="co_fnRef_F79110408358_ID0ERDAG_1">
              <w:r>
                <w:rPr>
                  <w:rFonts w:ascii="Times New Roman" w:hAnsi="Times New Roman"/>
                  <w:color w:val="006fc4"/>
                  <w:sz w:val="18"/>
                  <w:vertAlign w:val="superscript"/>
                </w:rPr>
                <w:t>79</w:t>
              </w:r>
            </w:hyperlink>
            <w:bookmarkEnd w:id="317"/>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 xml:space="preserve">See </w:t>
            </w:r>
            <w:hyperlink r:id="r81">
              <w:r>
                <w:rPr>
                  <w:rFonts w:ascii="Times New Roman" w:hAnsi="Times New Roman"/>
                  <w:color w:val="006fc4"/>
                  <w:sz w:val="18"/>
                </w:rPr>
                <w:t>Wheeler v. John Deere Co., 935 F.2d 1090, 1097-98 (10th Cir. 1991)</w:t>
              </w:r>
            </w:hyperlink>
            <w:r>
              <w:rPr>
                <w:rFonts w:ascii="Times New Roman" w:hAnsi="Times New Roman"/>
                <w:color w:val="1f1f1f"/>
                <w:sz w:val="18"/>
              </w:rPr>
              <w:t xml:space="preserve">; Cf. </w:t>
            </w:r>
            <w:hyperlink r:id="r82">
              <w:r>
                <w:rPr>
                  <w:rFonts w:ascii="Times New Roman" w:hAnsi="Times New Roman"/>
                  <w:color w:val="006fc4"/>
                  <w:sz w:val="18"/>
                </w:rPr>
                <w:t>Morrison v. Genuine Parts Co., 828 F.2d 708, 709-10 (11th Cir. 1987)</w:t>
              </w:r>
            </w:hyperlink>
            <w:r>
              <w:rPr>
                <w:rFonts w:ascii="Times New Roman" w:hAnsi="Times New Roman"/>
                <w:color w:val="1f1f1f"/>
                <w:sz w:val="18"/>
              </w:rPr>
              <w:t xml:space="preserve"> (allowing stipulation to be withdrawn in the interest of justice).</w:t>
            </w:r>
          </w:p>
        </w:tc>
      </w:tr>
      <w:tr>
        <w:tblPrEx/>
        <w:trPr/>
        <w:tc>
          <w:tcPr>
            <w:vAlign w:val="top"/>
          </w:tcPr>
          <w:p>
            <w:pPr>
              <w:spacing w:before="0" w:after="0" w:line="275" w:lineRule="atLeast"/>
            </w:pPr>
            <w:bookmarkStart w:id="318" w:name="co_footnote_F80110408358_1"/>
            <w:hyperlink w:anchor="co_fnRef_F80110408358_ID0E2DAG_1">
              <w:r>
                <w:rPr>
                  <w:rFonts w:ascii="Times New Roman" w:hAnsi="Times New Roman"/>
                  <w:color w:val="006fc4"/>
                  <w:sz w:val="18"/>
                  <w:vertAlign w:val="superscript"/>
                </w:rPr>
                <w:t>80</w:t>
              </w:r>
            </w:hyperlink>
            <w:bookmarkEnd w:id="318"/>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 xml:space="preserve">See </w:t>
            </w:r>
            <w:hyperlink r:id="r83">
              <w:r>
                <w:rPr>
                  <w:rFonts w:ascii="Times New Roman" w:hAnsi="Times New Roman"/>
                  <w:color w:val="006fc4"/>
                  <w:sz w:val="18"/>
                </w:rPr>
                <w:t>Keller v. United States, 58 F.3d 1194, 1198 n.8 (7th Cir. 1995)</w:t>
              </w:r>
            </w:hyperlink>
            <w:r>
              <w:rPr>
                <w:rFonts w:ascii="Times New Roman" w:hAnsi="Times New Roman"/>
                <w:color w:val="1f1f1f"/>
                <w:sz w:val="18"/>
              </w:rPr>
              <w:t xml:space="preserve"> (quoting Graham, supra note 73, at 998-1001).</w:t>
            </w:r>
          </w:p>
        </w:tc>
      </w:tr>
      <w:tr>
        <w:tblPrEx/>
        <w:trPr/>
        <w:tc>
          <w:tcPr>
            <w:vAlign w:val="top"/>
          </w:tcPr>
          <w:p>
            <w:pPr>
              <w:spacing w:before="0" w:after="0" w:line="275" w:lineRule="atLeast"/>
            </w:pPr>
            <w:bookmarkStart w:id="319" w:name="co_footnote_F81110408358_1"/>
            <w:hyperlink w:anchor="co_fnRef_F81110408358_ID0E5DAG_1">
              <w:r>
                <w:rPr>
                  <w:rFonts w:ascii="Times New Roman" w:hAnsi="Times New Roman"/>
                  <w:color w:val="006fc4"/>
                  <w:sz w:val="18"/>
                  <w:vertAlign w:val="superscript"/>
                </w:rPr>
                <w:t>81</w:t>
              </w:r>
            </w:hyperlink>
            <w:bookmarkEnd w:id="319"/>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 xml:space="preserve">See </w:t>
            </w:r>
            <w:hyperlink r:id="r84">
              <w:r>
                <w:rPr>
                  <w:rFonts w:ascii="Times New Roman" w:hAnsi="Times New Roman"/>
                  <w:color w:val="006fc4"/>
                  <w:sz w:val="18"/>
                </w:rPr>
                <w:t>Fed. R. Civ. P. 37(c)(2)</w:t>
              </w:r>
            </w:hyperlink>
            <w:r>
              <w:rPr>
                <w:rFonts w:ascii="Times New Roman" w:hAnsi="Times New Roman"/>
                <w:color w:val="1f1f1f"/>
                <w:sz w:val="18"/>
              </w:rPr>
              <w:t>.</w:t>
            </w:r>
          </w:p>
        </w:tc>
      </w:tr>
      <w:tr>
        <w:tblPrEx/>
        <w:trPr/>
        <w:tc>
          <w:tcPr>
            <w:vAlign w:val="top"/>
          </w:tcPr>
          <w:p>
            <w:pPr>
              <w:spacing w:before="0" w:after="0" w:line="275" w:lineRule="atLeast"/>
            </w:pPr>
            <w:bookmarkStart w:id="320" w:name="co_footnote_F82110408358_1"/>
            <w:hyperlink w:anchor="co_fnRef_F82110408358_ID0ECEAG_1">
              <w:r>
                <w:rPr>
                  <w:rFonts w:ascii="Times New Roman" w:hAnsi="Times New Roman"/>
                  <w:color w:val="006fc4"/>
                  <w:sz w:val="18"/>
                  <w:vertAlign w:val="superscript"/>
                </w:rPr>
                <w:t>82</w:t>
              </w:r>
            </w:hyperlink>
            <w:bookmarkEnd w:id="320"/>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 xml:space="preserve">See </w:t>
            </w:r>
            <w:hyperlink r:id="r85">
              <w:r>
                <w:rPr>
                  <w:rFonts w:ascii="Times New Roman" w:hAnsi="Times New Roman"/>
                  <w:color w:val="006fc4"/>
                  <w:sz w:val="18"/>
                </w:rPr>
                <w:t>Fed. R. Civ. P. 36(a)</w:t>
              </w:r>
            </w:hyperlink>
            <w:r>
              <w:rPr>
                <w:rFonts w:ascii="Times New Roman" w:hAnsi="Times New Roman"/>
                <w:color w:val="1f1f1f"/>
                <w:sz w:val="18"/>
              </w:rPr>
              <w:t>.</w:t>
            </w:r>
          </w:p>
        </w:tc>
      </w:tr>
      <w:tr>
        <w:tblPrEx/>
        <w:trPr/>
        <w:tc>
          <w:tcPr>
            <w:vAlign w:val="top"/>
          </w:tcPr>
          <w:p>
            <w:pPr>
              <w:spacing w:before="0" w:after="0" w:line="275" w:lineRule="atLeast"/>
            </w:pPr>
            <w:bookmarkStart w:id="321" w:name="co_footnote_F83110408358_1"/>
            <w:hyperlink w:anchor="co_fnRef_F83110408358_ID0EPEAG_1">
              <w:r>
                <w:rPr>
                  <w:rFonts w:ascii="Times New Roman" w:hAnsi="Times New Roman"/>
                  <w:color w:val="006fc4"/>
                  <w:sz w:val="18"/>
                  <w:vertAlign w:val="superscript"/>
                </w:rPr>
                <w:t>83</w:t>
              </w:r>
            </w:hyperlink>
            <w:bookmarkEnd w:id="321"/>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 xml:space="preserve">See </w:t>
            </w:r>
            <w:hyperlink r:id="r86">
              <w:r>
                <w:rPr>
                  <w:rFonts w:ascii="Times New Roman" w:hAnsi="Times New Roman"/>
                  <w:color w:val="006fc4"/>
                  <w:sz w:val="18"/>
                </w:rPr>
                <w:t>Williams v. Union Carbide Corp., 790 F.2d 552, 555-56 (6th Cir. 1986)</w:t>
              </w:r>
            </w:hyperlink>
            <w:r>
              <w:rPr>
                <w:rFonts w:ascii="Times New Roman" w:hAnsi="Times New Roman"/>
                <w:color w:val="1f1f1f"/>
                <w:sz w:val="18"/>
              </w:rPr>
              <w:t>; Mc</w:t>
            </w:r>
            <w:hyperlink r:id="r87">
              <w:r>
                <w:rPr>
                  <w:rFonts w:ascii="Times New Roman" w:hAnsi="Times New Roman"/>
                  <w:color w:val="006fc4"/>
                  <w:sz w:val="18"/>
                </w:rPr>
                <w:t>Cormick, supra note 73, § 257, at 148</w:t>
              </w:r>
            </w:hyperlink>
            <w:r>
              <w:rPr>
                <w:rFonts w:ascii="Times New Roman" w:hAnsi="Times New Roman"/>
                <w:color w:val="1f1f1f"/>
                <w:sz w:val="18"/>
              </w:rPr>
              <w:t>.</w:t>
            </w:r>
          </w:p>
        </w:tc>
      </w:tr>
      <w:tr>
        <w:tblPrEx/>
        <w:trPr/>
        <w:tc>
          <w:tcPr>
            <w:vAlign w:val="top"/>
          </w:tcPr>
          <w:p>
            <w:pPr>
              <w:spacing w:before="0" w:after="0" w:line="275" w:lineRule="atLeast"/>
            </w:pPr>
            <w:bookmarkStart w:id="322" w:name="co_footnote_F84110408358_1"/>
            <w:hyperlink w:anchor="co_fnRef_F84110408358_ID0ESEAG_1">
              <w:r>
                <w:rPr>
                  <w:rFonts w:ascii="Times New Roman" w:hAnsi="Times New Roman"/>
                  <w:color w:val="006fc4"/>
                  <w:sz w:val="18"/>
                  <w:vertAlign w:val="superscript"/>
                </w:rPr>
                <w:t>84</w:t>
              </w:r>
            </w:hyperlink>
            <w:bookmarkEnd w:id="322"/>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 xml:space="preserve">See, e.g., </w:t>
            </w:r>
            <w:hyperlink r:id="r88">
              <w:r>
                <w:rPr>
                  <w:rFonts w:ascii="Times New Roman" w:hAnsi="Times New Roman"/>
                  <w:color w:val="006fc4"/>
                  <w:sz w:val="18"/>
                </w:rPr>
                <w:t>Medcom Holding Co. v. Baxter Travenol Labs., Inc., 106 F.3d 1388, 1404 n.7 (7th Cir. 1997)</w:t>
              </w:r>
            </w:hyperlink>
            <w:r>
              <w:rPr>
                <w:rFonts w:ascii="Times New Roman" w:hAnsi="Times New Roman"/>
                <w:color w:val="1f1f1f"/>
                <w:sz w:val="18"/>
              </w:rPr>
              <w:t xml:space="preserve"> (stating that the defendants did not make binding judicial admissions through its stipulations to the court and discussing the fact that judicial admissions are formal concessions in the pleadings or party stipulations); see also </w:t>
            </w:r>
            <w:hyperlink r:id="r89">
              <w:r>
                <w:rPr>
                  <w:rFonts w:ascii="Times New Roman" w:hAnsi="Times New Roman"/>
                  <w:color w:val="006fc4"/>
                  <w:sz w:val="18"/>
                </w:rPr>
                <w:t>Lytle v. Stearns, 830 P.2d 1197, 1205 (Kan. 1992)</w:t>
              </w:r>
            </w:hyperlink>
            <w:r>
              <w:rPr>
                <w:rFonts w:ascii="Times New Roman" w:hAnsi="Times New Roman"/>
                <w:color w:val="1f1f1f"/>
                <w:sz w:val="18"/>
              </w:rPr>
              <w:t xml:space="preserve"> (discussing whether abandoned allegations can be admitted into evidence as admissions subject to explanation by the pleader).</w:t>
            </w:r>
          </w:p>
        </w:tc>
      </w:tr>
      <w:tr>
        <w:tblPrEx/>
        <w:trPr/>
        <w:tc>
          <w:tcPr>
            <w:vAlign w:val="top"/>
          </w:tcPr>
          <w:p>
            <w:pPr>
              <w:spacing w:before="0" w:after="0" w:line="275" w:lineRule="atLeast"/>
            </w:pPr>
            <w:bookmarkStart w:id="323" w:name="co_footnote_F85110408358_1"/>
            <w:hyperlink w:anchor="co_fnRef_F85110408358_ID0EXEAG_1">
              <w:r>
                <w:rPr>
                  <w:rFonts w:ascii="Times New Roman" w:hAnsi="Times New Roman"/>
                  <w:color w:val="006fc4"/>
                  <w:sz w:val="18"/>
                  <w:vertAlign w:val="superscript"/>
                </w:rPr>
                <w:t>85</w:t>
              </w:r>
            </w:hyperlink>
            <w:bookmarkEnd w:id="323"/>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 xml:space="preserve">See Graham, supra note 73, </w:t>
            </w:r>
            <w:hyperlink r:id="r90">
              <w:r>
                <w:rPr>
                  <w:rFonts w:ascii="Times New Roman" w:hAnsi="Times New Roman"/>
                  <w:color w:val="006fc4"/>
                  <w:sz w:val="18"/>
                </w:rPr>
                <w:t>§ 6726</w:t>
              </w:r>
            </w:hyperlink>
            <w:r>
              <w:rPr>
                <w:rFonts w:ascii="Times New Roman" w:hAnsi="Times New Roman"/>
                <w:color w:val="1f1f1f"/>
                <w:sz w:val="18"/>
              </w:rPr>
              <w:t>, at 228-31.</w:t>
            </w:r>
          </w:p>
        </w:tc>
      </w:tr>
      <w:tr>
        <w:tblPrEx/>
        <w:trPr/>
        <w:tc>
          <w:tcPr>
            <w:vAlign w:val="top"/>
          </w:tcPr>
          <w:p>
            <w:pPr>
              <w:spacing w:before="0" w:after="0" w:line="275" w:lineRule="atLeast"/>
            </w:pPr>
            <w:bookmarkStart w:id="324" w:name="co_footnote_F86110408358_1"/>
            <w:hyperlink w:anchor="co_fnRef_F86110408358_ID0E2EAG_1">
              <w:r>
                <w:rPr>
                  <w:rFonts w:ascii="Times New Roman" w:hAnsi="Times New Roman"/>
                  <w:color w:val="006fc4"/>
                  <w:sz w:val="18"/>
                  <w:vertAlign w:val="superscript"/>
                </w:rPr>
                <w:t>86</w:t>
              </w:r>
            </w:hyperlink>
            <w:bookmarkEnd w:id="324"/>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See Roman, supra note 78, at 995-98.</w:t>
            </w:r>
          </w:p>
        </w:tc>
      </w:tr>
      <w:tr>
        <w:tblPrEx/>
        <w:trPr/>
        <w:tc>
          <w:tcPr>
            <w:vAlign w:val="top"/>
          </w:tcPr>
          <w:p>
            <w:pPr>
              <w:spacing w:before="0" w:after="0" w:line="275" w:lineRule="atLeast"/>
            </w:pPr>
            <w:bookmarkStart w:id="325" w:name="co_footnote_F87110408358_1"/>
            <w:hyperlink w:anchor="co_fnRef_F87110408358_ID0ENFAG_1">
              <w:r>
                <w:rPr>
                  <w:rFonts w:ascii="Times New Roman" w:hAnsi="Times New Roman"/>
                  <w:color w:val="006fc4"/>
                  <w:sz w:val="18"/>
                  <w:vertAlign w:val="superscript"/>
                </w:rPr>
                <w:t>87</w:t>
              </w:r>
            </w:hyperlink>
            <w:bookmarkEnd w:id="325"/>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See Mc</w:t>
            </w:r>
            <w:hyperlink r:id="r91">
              <w:r>
                <w:rPr>
                  <w:rFonts w:ascii="Times New Roman" w:hAnsi="Times New Roman"/>
                  <w:color w:val="006fc4"/>
                  <w:sz w:val="18"/>
                </w:rPr>
                <w:t>Cormick, supra note 73, § 258, at 153</w:t>
              </w:r>
            </w:hyperlink>
            <w:r>
              <w:rPr>
                <w:rFonts w:ascii="Times New Roman" w:hAnsi="Times New Roman"/>
                <w:color w:val="1f1f1f"/>
                <w:sz w:val="18"/>
              </w:rPr>
              <w:t>.</w:t>
            </w:r>
          </w:p>
        </w:tc>
      </w:tr>
      <w:tr>
        <w:tblPrEx/>
        <w:trPr/>
        <w:tc>
          <w:tcPr>
            <w:vAlign w:val="top"/>
          </w:tcPr>
          <w:p>
            <w:pPr>
              <w:spacing w:before="0" w:after="0" w:line="275" w:lineRule="atLeast"/>
            </w:pPr>
            <w:bookmarkStart w:id="326" w:name="co_footnote_F88110408358_1"/>
            <w:hyperlink w:anchor="co_fnRef_F88110408358_ID0EQFAG_1">
              <w:r>
                <w:rPr>
                  <w:rFonts w:ascii="Times New Roman" w:hAnsi="Times New Roman"/>
                  <w:color w:val="006fc4"/>
                  <w:sz w:val="18"/>
                  <w:vertAlign w:val="superscript"/>
                </w:rPr>
                <w:t>88</w:t>
              </w:r>
            </w:hyperlink>
            <w:bookmarkEnd w:id="326"/>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 xml:space="preserve">See </w:t>
            </w:r>
            <w:hyperlink r:id="r92">
              <w:r>
                <w:rPr>
                  <w:rFonts w:ascii="Times New Roman" w:hAnsi="Times New Roman"/>
                  <w:color w:val="006fc4"/>
                  <w:sz w:val="18"/>
                </w:rPr>
                <w:t>Keller v. United States, 58 F.3d 1194, 1199 n.8(7th Cir. 1995)</w:t>
              </w:r>
            </w:hyperlink>
            <w:r>
              <w:rPr>
                <w:rFonts w:ascii="Times New Roman" w:hAnsi="Times New Roman"/>
                <w:color w:val="1f1f1f"/>
                <w:sz w:val="18"/>
              </w:rPr>
              <w:t xml:space="preserve"> (“When a party testifying at trial or during a deposition admits a fact which is adverse to his claim or defense, it is generally preferable to treat that testimony as solely an evidentiary admission.”).</w:t>
            </w:r>
          </w:p>
        </w:tc>
      </w:tr>
      <w:tr>
        <w:tblPrEx/>
        <w:trPr/>
        <w:tc>
          <w:tcPr>
            <w:vAlign w:val="top"/>
          </w:tcPr>
          <w:p>
            <w:pPr>
              <w:spacing w:before="0" w:after="0" w:line="275" w:lineRule="atLeast"/>
            </w:pPr>
            <w:bookmarkStart w:id="327" w:name="co_footnote_F89110408358_1"/>
            <w:hyperlink w:anchor="co_fnRef_F89110408358_ID0ETFAG_1">
              <w:r>
                <w:rPr>
                  <w:rFonts w:ascii="Times New Roman" w:hAnsi="Times New Roman"/>
                  <w:color w:val="006fc4"/>
                  <w:sz w:val="18"/>
                  <w:vertAlign w:val="superscript"/>
                </w:rPr>
                <w:t>89</w:t>
              </w:r>
            </w:hyperlink>
            <w:bookmarkEnd w:id="327"/>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See Mc</w:t>
            </w:r>
            <w:hyperlink r:id="r93">
              <w:r>
                <w:rPr>
                  <w:rFonts w:ascii="Times New Roman" w:hAnsi="Times New Roman"/>
                  <w:color w:val="006fc4"/>
                  <w:sz w:val="18"/>
                </w:rPr>
                <w:t>Cormick, supra note 73, § 258, at 154-55</w:t>
              </w:r>
            </w:hyperlink>
            <w:r>
              <w:rPr>
                <w:rFonts w:ascii="Times New Roman" w:hAnsi="Times New Roman"/>
                <w:color w:val="1f1f1f"/>
                <w:sz w:val="18"/>
              </w:rPr>
              <w:t xml:space="preserve"> (supporting the treatment of the testimony of a party as an evidentiary admission as “preferable in policy” and “most in accord with the tradition of jury trial”).</w:t>
            </w:r>
          </w:p>
        </w:tc>
      </w:tr>
      <w:tr>
        <w:tblPrEx/>
        <w:trPr/>
        <w:tc>
          <w:tcPr>
            <w:vAlign w:val="top"/>
          </w:tcPr>
          <w:p>
            <w:pPr>
              <w:spacing w:before="0" w:after="0" w:line="275" w:lineRule="atLeast"/>
            </w:pPr>
            <w:bookmarkStart w:id="328" w:name="co_footnote_F90110408358_1"/>
            <w:hyperlink w:anchor="co_fnRef_F90110408358_ID0EYFAG_1">
              <w:r>
                <w:rPr>
                  <w:rFonts w:ascii="Times New Roman" w:hAnsi="Times New Roman"/>
                  <w:color w:val="006fc4"/>
                  <w:sz w:val="18"/>
                  <w:vertAlign w:val="superscript"/>
                </w:rPr>
                <w:t>90</w:t>
              </w:r>
            </w:hyperlink>
            <w:bookmarkEnd w:id="328"/>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 xml:space="preserve">See Graham, supra note 73, </w:t>
            </w:r>
            <w:hyperlink r:id="r94">
              <w:r>
                <w:rPr>
                  <w:rFonts w:ascii="Times New Roman" w:hAnsi="Times New Roman"/>
                  <w:color w:val="006fc4"/>
                  <w:sz w:val="18"/>
                </w:rPr>
                <w:t>§ 6726</w:t>
              </w:r>
            </w:hyperlink>
            <w:r>
              <w:rPr>
                <w:rFonts w:ascii="Times New Roman" w:hAnsi="Times New Roman"/>
                <w:color w:val="1f1f1f"/>
                <w:sz w:val="18"/>
              </w:rPr>
              <w:t>, at 231 n.11.</w:t>
            </w:r>
          </w:p>
        </w:tc>
      </w:tr>
      <w:tr>
        <w:tblPrEx/>
        <w:trPr/>
        <w:tc>
          <w:tcPr>
            <w:vAlign w:val="top"/>
          </w:tcPr>
          <w:p>
            <w:pPr>
              <w:spacing w:before="0" w:after="0" w:line="275" w:lineRule="atLeast"/>
            </w:pPr>
            <w:bookmarkStart w:id="329" w:name="co_footnote_F91110408358_1"/>
            <w:hyperlink w:anchor="co_fnRef_F91110408358_ID0ECGAG_1">
              <w:r>
                <w:rPr>
                  <w:rFonts w:ascii="Times New Roman" w:hAnsi="Times New Roman"/>
                  <w:color w:val="006fc4"/>
                  <w:sz w:val="18"/>
                  <w:vertAlign w:val="superscript"/>
                </w:rPr>
                <w:t>91</w:t>
              </w:r>
            </w:hyperlink>
            <w:bookmarkEnd w:id="329"/>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See Mc</w:t>
            </w:r>
            <w:hyperlink r:id="r95">
              <w:r>
                <w:rPr>
                  <w:rFonts w:ascii="Times New Roman" w:hAnsi="Times New Roman"/>
                  <w:color w:val="006fc4"/>
                  <w:sz w:val="18"/>
                </w:rPr>
                <w:t>Cormick, supra note 73, § 258, at 154-55</w:t>
              </w:r>
            </w:hyperlink>
            <w:r>
              <w:rPr>
                <w:rFonts w:ascii="Times New Roman" w:hAnsi="Times New Roman"/>
                <w:color w:val="1f1f1f"/>
                <w:sz w:val="18"/>
              </w:rPr>
              <w:t>.</w:t>
            </w:r>
          </w:p>
        </w:tc>
      </w:tr>
      <w:tr>
        <w:tblPrEx/>
        <w:trPr/>
        <w:tc>
          <w:tcPr>
            <w:vAlign w:val="top"/>
          </w:tcPr>
          <w:p>
            <w:pPr>
              <w:spacing w:before="0" w:after="0" w:line="275" w:lineRule="atLeast"/>
            </w:pPr>
            <w:bookmarkStart w:id="330" w:name="co_footnote_F92110408358_1"/>
            <w:hyperlink w:anchor="co_fnRef_F92110408358_ID0EGGAG_1">
              <w:r>
                <w:rPr>
                  <w:rFonts w:ascii="Times New Roman" w:hAnsi="Times New Roman"/>
                  <w:color w:val="006fc4"/>
                  <w:sz w:val="18"/>
                  <w:vertAlign w:val="superscript"/>
                </w:rPr>
                <w:t>92</w:t>
              </w:r>
            </w:hyperlink>
            <w:bookmarkEnd w:id="330"/>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 xml:space="preserve">See id. at 154; </w:t>
            </w:r>
            <w:hyperlink r:id="r96">
              <w:r>
                <w:rPr>
                  <w:rFonts w:ascii="Times New Roman" w:hAnsi="Times New Roman"/>
                  <w:color w:val="006fc4"/>
                  <w:sz w:val="18"/>
                </w:rPr>
                <w:t>Guadagno v. Wallack Ader Leviathan Assocs., 950 F. Supp. 1258, 1261 n.4 (S.D.N.Y. 1997)</w:t>
              </w:r>
            </w:hyperlink>
            <w:r>
              <w:rPr>
                <w:rFonts w:ascii="Times New Roman" w:hAnsi="Times New Roman"/>
                <w:color w:val="1f1f1f"/>
                <w:sz w:val="18"/>
              </w:rPr>
              <w:t xml:space="preserve">. But see </w:t>
            </w:r>
            <w:hyperlink r:id="r97">
              <w:r>
                <w:rPr>
                  <w:rFonts w:ascii="Times New Roman" w:hAnsi="Times New Roman"/>
                  <w:color w:val="006fc4"/>
                  <w:sz w:val="18"/>
                </w:rPr>
                <w:t>In re Rennick, 692 N.E.2d 1150, 1156 (Ill. 1998)</w:t>
              </w:r>
            </w:hyperlink>
            <w:r>
              <w:rPr>
                <w:rFonts w:ascii="Times New Roman" w:hAnsi="Times New Roman"/>
                <w:color w:val="1f1f1f"/>
                <w:sz w:val="18"/>
              </w:rPr>
              <w:t xml:space="preserve"> (stating that a party deponent is not always free to change testimony or reconstruct it after a deposition). Despite these rules, however, a court may well frown on intentional contradictions between deposition and affidavit testimony, unless the litigant has a credible explanation for the contradiction. See generally </w:t>
            </w:r>
            <w:hyperlink r:id="r98">
              <w:r>
                <w:rPr>
                  <w:rFonts w:ascii="Times New Roman" w:hAnsi="Times New Roman"/>
                  <w:color w:val="006fc4"/>
                  <w:sz w:val="18"/>
                </w:rPr>
                <w:t>Farroux v. Denny's Restaurants, Inc., 962 S.W.2d 108, 111 &amp; n.1 (Tex. App.--Houston [1st Dist.] 1997, no writ)</w:t>
              </w:r>
            </w:hyperlink>
            <w:r>
              <w:rPr>
                <w:rFonts w:ascii="Times New Roman" w:hAnsi="Times New Roman"/>
                <w:color w:val="1f1f1f"/>
                <w:sz w:val="18"/>
              </w:rPr>
              <w:t xml:space="preserve"> (“[A]n affiant could explain that he was confused in a deposition, or that he discovered additional, relevant materials after the deposition.”).</w:t>
            </w:r>
          </w:p>
        </w:tc>
      </w:tr>
      <w:tr>
        <w:tblPrEx/>
        <w:trPr/>
        <w:tc>
          <w:tcPr>
            <w:vAlign w:val="top"/>
          </w:tcPr>
          <w:p>
            <w:pPr>
              <w:spacing w:before="0" w:after="0" w:line="275" w:lineRule="atLeast"/>
            </w:pPr>
            <w:bookmarkStart w:id="331" w:name="co_footnote_F93110408358_1"/>
            <w:hyperlink w:anchor="co_fnRef_F93110408358_ID0ETGAG_1">
              <w:r>
                <w:rPr>
                  <w:rFonts w:ascii="Times New Roman" w:hAnsi="Times New Roman"/>
                  <w:color w:val="006fc4"/>
                  <w:sz w:val="18"/>
                  <w:vertAlign w:val="superscript"/>
                </w:rPr>
                <w:t>93</w:t>
              </w:r>
            </w:hyperlink>
            <w:bookmarkEnd w:id="331"/>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 xml:space="preserve">See, e.g., </w:t>
            </w:r>
            <w:hyperlink r:id="r99">
              <w:r>
                <w:rPr>
                  <w:rFonts w:ascii="Times New Roman" w:hAnsi="Times New Roman"/>
                  <w:color w:val="006fc4"/>
                  <w:sz w:val="18"/>
                </w:rPr>
                <w:t>Dartez v. Owens-Illinois, Inc., 910 F.2d 1291, 1294 (5th Cir. 1990)</w:t>
              </w:r>
            </w:hyperlink>
            <w:r>
              <w:rPr>
                <w:rFonts w:ascii="Times New Roman" w:hAnsi="Times New Roman"/>
                <w:color w:val="1f1f1f"/>
                <w:sz w:val="18"/>
              </w:rPr>
              <w:t xml:space="preserve"> (observing that an admission was bound to confuse jury).</w:t>
            </w:r>
          </w:p>
        </w:tc>
      </w:tr>
      <w:tr>
        <w:tblPrEx/>
        <w:trPr/>
        <w:tc>
          <w:tcPr>
            <w:vAlign w:val="top"/>
          </w:tcPr>
          <w:p>
            <w:pPr>
              <w:spacing w:before="0" w:after="0" w:line="275" w:lineRule="atLeast"/>
            </w:pPr>
            <w:bookmarkStart w:id="332" w:name="co_footnote_F94110408358_1"/>
            <w:hyperlink w:anchor="co_fnRef_F94110408358_ID0EYGAG_1">
              <w:r>
                <w:rPr>
                  <w:rFonts w:ascii="Times New Roman" w:hAnsi="Times New Roman"/>
                  <w:color w:val="006fc4"/>
                  <w:sz w:val="18"/>
                  <w:vertAlign w:val="superscript"/>
                </w:rPr>
                <w:t>94</w:t>
              </w:r>
            </w:hyperlink>
            <w:bookmarkEnd w:id="332"/>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 xml:space="preserve">See, e.g., </w:t>
            </w:r>
            <w:hyperlink r:id="r100">
              <w:r>
                <w:rPr>
                  <w:rFonts w:ascii="Times New Roman" w:hAnsi="Times New Roman"/>
                  <w:color w:val="006fc4"/>
                  <w:sz w:val="18"/>
                </w:rPr>
                <w:t>Hardy v. Johns-Manville Sales Corp., 851 F.2d 742, 745 (5th Cir. 1988)</w:t>
              </w:r>
            </w:hyperlink>
            <w:r>
              <w:rPr>
                <w:rFonts w:ascii="Times New Roman" w:hAnsi="Times New Roman"/>
                <w:color w:val="1f1f1f"/>
                <w:sz w:val="18"/>
              </w:rPr>
              <w:t xml:space="preserve"> (stating that there is no similar doctrine that appellate briefs submitted in one action may be used against that party in another action involving different parties).</w:t>
            </w:r>
          </w:p>
        </w:tc>
      </w:tr>
      <w:tr>
        <w:tblPrEx/>
        <w:trPr/>
        <w:tc>
          <w:tcPr>
            <w:vAlign w:val="top"/>
          </w:tcPr>
          <w:p>
            <w:pPr>
              <w:spacing w:before="0" w:after="0" w:line="275" w:lineRule="atLeast"/>
            </w:pPr>
            <w:bookmarkStart w:id="333" w:name="co_footnote_F95110408358_1"/>
            <w:hyperlink w:anchor="co_fnRef_F95110408358_ID0E3GAG_1">
              <w:r>
                <w:rPr>
                  <w:rFonts w:ascii="Times New Roman" w:hAnsi="Times New Roman"/>
                  <w:color w:val="006fc4"/>
                  <w:sz w:val="18"/>
                  <w:vertAlign w:val="superscript"/>
                </w:rPr>
                <w:t>95</w:t>
              </w:r>
            </w:hyperlink>
            <w:bookmarkEnd w:id="333"/>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 xml:space="preserve">See, e.g., </w:t>
            </w:r>
            <w:hyperlink r:id="r101">
              <w:r>
                <w:rPr>
                  <w:rFonts w:ascii="Times New Roman" w:hAnsi="Times New Roman"/>
                  <w:color w:val="006fc4"/>
                  <w:sz w:val="18"/>
                </w:rPr>
                <w:t>Becerra v. Asher, 105 F.3d 1042, 1048 (5th Cir. 1997)</w:t>
              </w:r>
            </w:hyperlink>
            <w:r>
              <w:rPr>
                <w:rFonts w:ascii="Times New Roman" w:hAnsi="Times New Roman"/>
                <w:color w:val="1f1f1f"/>
                <w:sz w:val="18"/>
              </w:rPr>
              <w:t xml:space="preserve"> (stating that an employee's admissions did not bind his employer and his supervisors); </w:t>
            </w:r>
            <w:hyperlink r:id="r102">
              <w:r>
                <w:rPr>
                  <w:rFonts w:ascii="Times New Roman" w:hAnsi="Times New Roman"/>
                  <w:color w:val="006fc4"/>
                  <w:sz w:val="18"/>
                </w:rPr>
                <w:t>Riberglass, Inc. v. Techni-Glass Indus., 811 F.2d 565, 566 (11th Cir. 1987)</w:t>
              </w:r>
            </w:hyperlink>
            <w:r>
              <w:rPr>
                <w:rFonts w:ascii="Times New Roman" w:hAnsi="Times New Roman"/>
                <w:color w:val="1f1f1f"/>
                <w:sz w:val="18"/>
              </w:rPr>
              <w:t xml:space="preserve"> (finding that co-guarantors' admissions did not bind another guarantor).</w:t>
            </w:r>
          </w:p>
        </w:tc>
      </w:tr>
      <w:tr>
        <w:tblPrEx/>
        <w:trPr/>
        <w:tc>
          <w:tcPr>
            <w:vAlign w:val="top"/>
          </w:tcPr>
          <w:p>
            <w:pPr>
              <w:spacing w:before="0" w:after="0" w:line="275" w:lineRule="atLeast"/>
            </w:pPr>
            <w:bookmarkStart w:id="334" w:name="co_footnote_F96110408358_1"/>
            <w:hyperlink w:anchor="co_fnRef_F96110408358_ID0ELHAG_1">
              <w:r>
                <w:rPr>
                  <w:rFonts w:ascii="Times New Roman" w:hAnsi="Times New Roman"/>
                  <w:color w:val="006fc4"/>
                  <w:sz w:val="18"/>
                  <w:vertAlign w:val="superscript"/>
                </w:rPr>
                <w:t>96</w:t>
              </w:r>
            </w:hyperlink>
            <w:bookmarkEnd w:id="334"/>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See James E. Coleman, Jr. &amp; Barbara M.G. Lynn, Requests for Admissions, in Business and Commercial Litigation in Federal Courts § 22 (Robert L. Haig ed., 1998).</w:t>
            </w:r>
          </w:p>
        </w:tc>
      </w:tr>
      <w:tr>
        <w:tblPrEx/>
        <w:trPr/>
        <w:tc>
          <w:tcPr>
            <w:vAlign w:val="top"/>
          </w:tcPr>
          <w:p>
            <w:pPr>
              <w:spacing w:before="0" w:after="0" w:line="275" w:lineRule="atLeast"/>
            </w:pPr>
            <w:bookmarkStart w:id="335" w:name="co_footnote_F97110408358_1"/>
            <w:hyperlink w:anchor="co_fnRef_F97110408358_ID0E4IAG_1">
              <w:r>
                <w:rPr>
                  <w:rFonts w:ascii="Times New Roman" w:hAnsi="Times New Roman"/>
                  <w:color w:val="006fc4"/>
                  <w:sz w:val="18"/>
                  <w:vertAlign w:val="superscript"/>
                </w:rPr>
                <w:t>97</w:t>
              </w:r>
            </w:hyperlink>
            <w:bookmarkEnd w:id="335"/>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See Roman, supra note 78, at 986 n.35.</w:t>
            </w:r>
          </w:p>
        </w:tc>
      </w:tr>
      <w:tr>
        <w:tblPrEx/>
        <w:trPr/>
        <w:tc>
          <w:tcPr>
            <w:vAlign w:val="top"/>
          </w:tcPr>
          <w:p>
            <w:pPr>
              <w:spacing w:before="0" w:after="0" w:line="275" w:lineRule="atLeast"/>
            </w:pPr>
            <w:bookmarkStart w:id="336" w:name="co_footnote_F98110408358_1"/>
            <w:hyperlink w:anchor="co_fnRef_F98110408358_ID0E1JAG_1">
              <w:r>
                <w:rPr>
                  <w:rFonts w:ascii="Times New Roman" w:hAnsi="Times New Roman"/>
                  <w:color w:val="006fc4"/>
                  <w:sz w:val="18"/>
                  <w:vertAlign w:val="superscript"/>
                </w:rPr>
                <w:t>98</w:t>
              </w:r>
            </w:hyperlink>
            <w:bookmarkEnd w:id="336"/>
          </w:p>
        </w:tc>
        <w:tc>
          <w:tcPr>
            <w:tcMar>
              <w:top w:w="90" w:type="dxa"/>
              <w:bottom w:w="90" w:type="dxa"/>
            </w:tcMar>
            <w:vAlign w:val="top"/>
          </w:tcPr>
          <w:p>
            <w:pPr>
              <w:pBdr>
                <w:bottom w:val="none" w:space="8"/>
              </w:pBdr>
              <w:spacing w:before="0" w:after="0" w:line="255" w:lineRule="atLeast"/>
              <w:jc w:val="both"/>
            </w:pPr>
            <w:hyperlink r:id="r103">
              <w:r>
                <w:rPr>
                  <w:rFonts w:ascii="Times New Roman" w:hAnsi="Times New Roman"/>
                  <w:color w:val="006fc4"/>
                  <w:sz w:val="18"/>
                </w:rPr>
                <w:t>Parkinson v. California Co., 233 F.2d 432, 438 (10th Cir. 1956)</w:t>
              </w:r>
            </w:hyperlink>
            <w:r>
              <w:rPr>
                <w:rFonts w:ascii="Times New Roman" w:hAnsi="Times New Roman"/>
                <w:color w:val="1f1f1f"/>
                <w:sz w:val="18"/>
              </w:rPr>
              <w:t>.</w:t>
            </w:r>
          </w:p>
        </w:tc>
      </w:tr>
      <w:tr>
        <w:tblPrEx/>
        <w:trPr/>
        <w:tc>
          <w:tcPr>
            <w:vAlign w:val="top"/>
          </w:tcPr>
          <w:p>
            <w:pPr>
              <w:spacing w:before="0" w:after="0" w:line="275" w:lineRule="atLeast"/>
            </w:pPr>
            <w:bookmarkStart w:id="337" w:name="co_footnote_F99110408358_1"/>
            <w:hyperlink w:anchor="co_fnRef_F99110408358_ID0EXKAG_1">
              <w:r>
                <w:rPr>
                  <w:rFonts w:ascii="Times New Roman" w:hAnsi="Times New Roman"/>
                  <w:color w:val="006fc4"/>
                  <w:sz w:val="18"/>
                  <w:vertAlign w:val="superscript"/>
                </w:rPr>
                <w:t>99</w:t>
              </w:r>
            </w:hyperlink>
            <w:bookmarkEnd w:id="337"/>
          </w:p>
        </w:tc>
        <w:tc>
          <w:tcPr>
            <w:tcMar>
              <w:top w:w="90" w:type="dxa"/>
              <w:bottom w:w="90" w:type="dxa"/>
            </w:tcMar>
            <w:vAlign w:val="top"/>
          </w:tcPr>
          <w:p>
            <w:pPr>
              <w:pBdr>
                <w:bottom w:val="none" w:space="8"/>
              </w:pBdr>
              <w:spacing w:before="0" w:after="0" w:line="255" w:lineRule="atLeast"/>
              <w:jc w:val="both"/>
            </w:pPr>
            <w:hyperlink r:id="r104">
              <w:r>
                <w:rPr>
                  <w:rFonts w:ascii="Times New Roman" w:hAnsi="Times New Roman"/>
                  <w:color w:val="006fc4"/>
                  <w:sz w:val="18"/>
                </w:rPr>
                <w:t>Sturm v. Boker, 150 U.S. 312, 334 (1893)</w:t>
              </w:r>
            </w:hyperlink>
            <w:r>
              <w:rPr>
                <w:rFonts w:ascii="Times New Roman" w:hAnsi="Times New Roman"/>
                <w:color w:val="1f1f1f"/>
                <w:sz w:val="18"/>
              </w:rPr>
              <w:t>.</w:t>
            </w:r>
          </w:p>
        </w:tc>
      </w:tr>
      <w:tr>
        <w:tblPrEx/>
        <w:trPr/>
        <w:tc>
          <w:tcPr>
            <w:vAlign w:val="top"/>
          </w:tcPr>
          <w:p>
            <w:pPr>
              <w:spacing w:before="0" w:after="0" w:line="275" w:lineRule="atLeast"/>
            </w:pPr>
            <w:bookmarkStart w:id="338" w:name="co_footnote_F100110408358_1"/>
            <w:hyperlink w:anchor="co_fnRef_F100110408358_ID0E1KAG_1">
              <w:r>
                <w:rPr>
                  <w:rFonts w:ascii="Times New Roman" w:hAnsi="Times New Roman"/>
                  <w:color w:val="006fc4"/>
                  <w:sz w:val="18"/>
                  <w:vertAlign w:val="superscript"/>
                </w:rPr>
                <w:t>100</w:t>
              </w:r>
            </w:hyperlink>
            <w:bookmarkEnd w:id="338"/>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 xml:space="preserve">See generally </w:t>
            </w:r>
            <w:hyperlink r:id="r105">
              <w:r>
                <w:rPr>
                  <w:rFonts w:ascii="Times New Roman" w:hAnsi="Times New Roman"/>
                  <w:color w:val="006fc4"/>
                  <w:sz w:val="18"/>
                </w:rPr>
                <w:t>28 Am. Jur. 2d Estoppel &amp; Waiver §§ 4</w:t>
              </w:r>
            </w:hyperlink>
            <w:r>
              <w:rPr>
                <w:rFonts w:ascii="Times New Roman" w:hAnsi="Times New Roman"/>
                <w:color w:val="1f1f1f"/>
                <w:sz w:val="18"/>
              </w:rPr>
              <w:t>-</w:t>
            </w:r>
            <w:hyperlink r:id="r106">
              <w:r>
                <w:rPr>
                  <w:rFonts w:ascii="Times New Roman" w:hAnsi="Times New Roman"/>
                  <w:color w:val="006fc4"/>
                  <w:sz w:val="18"/>
                </w:rPr>
                <w:t>25 (1966)</w:t>
              </w:r>
            </w:hyperlink>
            <w:r>
              <w:rPr>
                <w:rFonts w:ascii="Times New Roman" w:hAnsi="Times New Roman"/>
                <w:color w:val="1f1f1f"/>
                <w:sz w:val="18"/>
              </w:rPr>
              <w:t xml:space="preserve"> (discussing principles of estoppel by deed and bond); </w:t>
            </w:r>
            <w:hyperlink r:id="r107">
              <w:r>
                <w:rPr>
                  <w:rFonts w:ascii="Times New Roman" w:hAnsi="Times New Roman"/>
                  <w:color w:val="006fc4"/>
                  <w:sz w:val="18"/>
                </w:rPr>
                <w:t>31 C.J.S. Estoppel &amp; Waiver §§ 10</w:t>
              </w:r>
            </w:hyperlink>
            <w:r>
              <w:rPr>
                <w:rFonts w:ascii="Times New Roman" w:hAnsi="Times New Roman"/>
                <w:color w:val="1f1f1f"/>
                <w:sz w:val="18"/>
              </w:rPr>
              <w:t>-</w:t>
            </w:r>
            <w:hyperlink r:id="r108">
              <w:r>
                <w:rPr>
                  <w:rFonts w:ascii="Times New Roman" w:hAnsi="Times New Roman"/>
                  <w:color w:val="006fc4"/>
                  <w:sz w:val="18"/>
                </w:rPr>
                <w:t>54 (1996)</w:t>
              </w:r>
            </w:hyperlink>
            <w:r>
              <w:rPr>
                <w:rFonts w:ascii="Times New Roman" w:hAnsi="Times New Roman"/>
                <w:color w:val="1f1f1f"/>
                <w:sz w:val="18"/>
              </w:rPr>
              <w:t xml:space="preserve"> (explaining general requirements, necessary elements, validity, and requisites of estoppel by deed).</w:t>
            </w:r>
          </w:p>
        </w:tc>
      </w:tr>
      <w:tr>
        <w:tblPrEx/>
        <w:trPr/>
        <w:tc>
          <w:tcPr>
            <w:vAlign w:val="top"/>
          </w:tcPr>
          <w:p>
            <w:pPr>
              <w:spacing w:before="0" w:after="0" w:line="275" w:lineRule="atLeast"/>
            </w:pPr>
            <w:bookmarkStart w:id="339" w:name="co_footnote_F101110408358_1"/>
            <w:hyperlink w:anchor="co_fnRef_F101110408358_ID0ECLAG_1">
              <w:r>
                <w:rPr>
                  <w:rFonts w:ascii="Times New Roman" w:hAnsi="Times New Roman"/>
                  <w:color w:val="006fc4"/>
                  <w:sz w:val="18"/>
                  <w:vertAlign w:val="superscript"/>
                </w:rPr>
                <w:t>101</w:t>
              </w:r>
            </w:hyperlink>
            <w:bookmarkEnd w:id="339"/>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See 28 Am. Jur. 2d, supra note 100, §§ 5-9. For a historical perspective on some foundational points about this doctrine that overlap with that of judicial estoppel, see generally Robert W. Millar, The Historical Relation of Estoppel by Record to Res Judicata, 35 Ill. L. Rev. 41 (1940).</w:t>
            </w:r>
          </w:p>
        </w:tc>
      </w:tr>
      <w:tr>
        <w:tblPrEx/>
        <w:trPr/>
        <w:tc>
          <w:tcPr>
            <w:vAlign w:val="top"/>
          </w:tcPr>
          <w:p>
            <w:pPr>
              <w:spacing w:before="0" w:after="0" w:line="275" w:lineRule="atLeast"/>
            </w:pPr>
            <w:bookmarkStart w:id="340" w:name="co_footnote_F102110408358_1"/>
            <w:hyperlink w:anchor="co_fnRef_F102110408358_ID0EILAG_1">
              <w:r>
                <w:rPr>
                  <w:rFonts w:ascii="Times New Roman" w:hAnsi="Times New Roman"/>
                  <w:color w:val="006fc4"/>
                  <w:sz w:val="18"/>
                  <w:vertAlign w:val="superscript"/>
                </w:rPr>
                <w:t>102</w:t>
              </w:r>
            </w:hyperlink>
            <w:bookmarkEnd w:id="340"/>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See 28 Am. Jur. 2d, supra note 100, § 10, at 353-54.</w:t>
            </w:r>
          </w:p>
        </w:tc>
      </w:tr>
      <w:tr>
        <w:tblPrEx/>
        <w:trPr/>
        <w:tc>
          <w:tcPr>
            <w:vAlign w:val="top"/>
          </w:tcPr>
          <w:p>
            <w:pPr>
              <w:spacing w:before="0" w:after="0" w:line="275" w:lineRule="atLeast"/>
            </w:pPr>
            <w:bookmarkStart w:id="341" w:name="co_footnote_F103110408358_1"/>
            <w:hyperlink w:anchor="co_fnRef_F103110408358_ID0EMLAG_1">
              <w:r>
                <w:rPr>
                  <w:rFonts w:ascii="Times New Roman" w:hAnsi="Times New Roman"/>
                  <w:color w:val="006fc4"/>
                  <w:sz w:val="18"/>
                  <w:vertAlign w:val="superscript"/>
                </w:rPr>
                <w:t>103</w:t>
              </w:r>
            </w:hyperlink>
            <w:bookmarkEnd w:id="341"/>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Id. § 5, at 603.</w:t>
            </w:r>
          </w:p>
        </w:tc>
      </w:tr>
      <w:tr>
        <w:tblPrEx/>
        <w:trPr/>
        <w:tc>
          <w:tcPr>
            <w:vAlign w:val="top"/>
          </w:tcPr>
          <w:p>
            <w:pPr>
              <w:spacing w:before="0" w:after="0" w:line="275" w:lineRule="atLeast"/>
            </w:pPr>
            <w:bookmarkStart w:id="342" w:name="co_footnote_F104110408358_1"/>
            <w:hyperlink w:anchor="co_fnRef_F104110408358_ID0EZLAG_1">
              <w:r>
                <w:rPr>
                  <w:rFonts w:ascii="Times New Roman" w:hAnsi="Times New Roman"/>
                  <w:color w:val="006fc4"/>
                  <w:sz w:val="18"/>
                  <w:vertAlign w:val="superscript"/>
                </w:rPr>
                <w:t>104</w:t>
              </w:r>
            </w:hyperlink>
            <w:bookmarkEnd w:id="342"/>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See generally Melville M. Bigelow, A Treatise on the Law of Estoppel xl (2d ed. 1872) (“Certain admissions, then, are indisputable, and estoppel is the agency of the law by which evidence to controvert their truth is excluded.”); see also John S. Ewart, An Exposition of the Principles of Estoppel 4 (1900) (citing earlier commentators who defined an estoppel as “[a]n admission of a state of facts” and as “[a]n admission, or something which the law treats as an admission of an extremely high and conclusive nature”).</w:t>
            </w:r>
          </w:p>
        </w:tc>
      </w:tr>
      <w:tr>
        <w:tblPrEx/>
        <w:trPr/>
        <w:tc>
          <w:tcPr>
            <w:vAlign w:val="top"/>
          </w:tcPr>
          <w:p>
            <w:pPr>
              <w:spacing w:before="0" w:after="0" w:line="275" w:lineRule="atLeast"/>
            </w:pPr>
            <w:bookmarkStart w:id="343" w:name="co_footnote_F105110408358_1"/>
            <w:hyperlink w:anchor="co_fnRef_F105110408358_ID0E5LAG_1">
              <w:r>
                <w:rPr>
                  <w:rFonts w:ascii="Times New Roman" w:hAnsi="Times New Roman"/>
                  <w:color w:val="006fc4"/>
                  <w:sz w:val="18"/>
                  <w:vertAlign w:val="superscript"/>
                </w:rPr>
                <w:t>105</w:t>
              </w:r>
            </w:hyperlink>
            <w:bookmarkEnd w:id="343"/>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See generally Ewart, supra note 104, at 4 n.5 (citing cases following the definition of estoppel as an express or implied admission).</w:t>
            </w:r>
          </w:p>
        </w:tc>
      </w:tr>
      <w:tr>
        <w:tblPrEx/>
        <w:trPr/>
        <w:tc>
          <w:tcPr>
            <w:vAlign w:val="top"/>
          </w:tcPr>
          <w:p>
            <w:pPr>
              <w:spacing w:before="0" w:after="0" w:line="275" w:lineRule="atLeast"/>
            </w:pPr>
            <w:bookmarkStart w:id="344" w:name="co_footnote_F106110408358_1"/>
            <w:hyperlink w:anchor="co_fnRef_F106110408358_ID0EOMAG_1">
              <w:r>
                <w:rPr>
                  <w:rFonts w:ascii="Times New Roman" w:hAnsi="Times New Roman"/>
                  <w:color w:val="006fc4"/>
                  <w:sz w:val="18"/>
                  <w:vertAlign w:val="superscript"/>
                </w:rPr>
                <w:t>106</w:t>
              </w:r>
            </w:hyperlink>
            <w:bookmarkEnd w:id="344"/>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Melville M. Bigelow, A Treatise on the Law of Estoppel 453 n.1 (5th ed. 1890); see also Ewart, supra note 104, at 4 (noting practical similarity between the effect of an admission and estoppel, but criticizing commentators who say the two doctrines are the same).</w:t>
            </w:r>
          </w:p>
        </w:tc>
      </w:tr>
      <w:tr>
        <w:tblPrEx/>
        <w:trPr/>
        <w:tc>
          <w:tcPr>
            <w:vAlign w:val="top"/>
          </w:tcPr>
          <w:p>
            <w:pPr>
              <w:spacing w:before="0" w:after="0" w:line="275" w:lineRule="atLeast"/>
            </w:pPr>
            <w:bookmarkStart w:id="345" w:name="co_footnote_F107110408358_1"/>
            <w:hyperlink w:anchor="co_fnRef_F107110408358_ID0E4MAG_1">
              <w:r>
                <w:rPr>
                  <w:rFonts w:ascii="Times New Roman" w:hAnsi="Times New Roman"/>
                  <w:color w:val="006fc4"/>
                  <w:sz w:val="18"/>
                  <w:vertAlign w:val="superscript"/>
                </w:rPr>
                <w:t>107</w:t>
              </w:r>
            </w:hyperlink>
            <w:bookmarkEnd w:id="345"/>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 xml:space="preserve">See </w:t>
            </w:r>
            <w:hyperlink r:id="r109">
              <w:r>
                <w:rPr>
                  <w:rFonts w:ascii="Times New Roman" w:hAnsi="Times New Roman"/>
                  <w:color w:val="006fc4"/>
                  <w:sz w:val="18"/>
                </w:rPr>
                <w:t>Rosa v. CWJ Contractors, Ltd., 664 P.2d 745, 751 (Haw. Ct. App. 1983)</w:t>
              </w:r>
            </w:hyperlink>
            <w:r>
              <w:rPr>
                <w:rFonts w:ascii="Times New Roman" w:hAnsi="Times New Roman"/>
                <w:color w:val="1f1f1f"/>
                <w:sz w:val="18"/>
              </w:rPr>
              <w:t>.</w:t>
            </w:r>
          </w:p>
        </w:tc>
      </w:tr>
      <w:tr>
        <w:tblPrEx/>
        <w:trPr/>
        <w:tc>
          <w:tcPr>
            <w:vAlign w:val="top"/>
          </w:tcPr>
          <w:p>
            <w:pPr>
              <w:spacing w:before="0" w:after="0" w:line="275" w:lineRule="atLeast"/>
            </w:pPr>
            <w:bookmarkStart w:id="346" w:name="co_footnote_F108110408358_1"/>
            <w:hyperlink w:anchor="co_fnRef_F108110408358_ID0EFNAG_1">
              <w:r>
                <w:rPr>
                  <w:rFonts w:ascii="Times New Roman" w:hAnsi="Times New Roman"/>
                  <w:color w:val="006fc4"/>
                  <w:sz w:val="18"/>
                  <w:vertAlign w:val="superscript"/>
                </w:rPr>
                <w:t>108</w:t>
              </w:r>
            </w:hyperlink>
            <w:bookmarkEnd w:id="346"/>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See supra text accompanying notes 83-86.</w:t>
            </w:r>
          </w:p>
        </w:tc>
      </w:tr>
      <w:tr>
        <w:tblPrEx/>
        <w:trPr/>
        <w:tc>
          <w:tcPr>
            <w:vAlign w:val="top"/>
          </w:tcPr>
          <w:p>
            <w:pPr>
              <w:spacing w:before="0" w:after="0" w:line="275" w:lineRule="atLeast"/>
            </w:pPr>
            <w:bookmarkStart w:id="347" w:name="co_footnote_F109110408358_1"/>
            <w:hyperlink w:anchor="co_fnRef_F109110408358_ID0EONAG_1">
              <w:r>
                <w:rPr>
                  <w:rFonts w:ascii="Times New Roman" w:hAnsi="Times New Roman"/>
                  <w:color w:val="006fc4"/>
                  <w:sz w:val="18"/>
                  <w:vertAlign w:val="superscript"/>
                </w:rPr>
                <w:t>109</w:t>
              </w:r>
            </w:hyperlink>
            <w:bookmarkEnd w:id="347"/>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See supra text accompanying notes 31-35.</w:t>
            </w:r>
          </w:p>
        </w:tc>
      </w:tr>
      <w:tr>
        <w:tblPrEx/>
        <w:trPr/>
        <w:tc>
          <w:tcPr>
            <w:vAlign w:val="top"/>
          </w:tcPr>
          <w:p>
            <w:pPr>
              <w:spacing w:before="0" w:after="0" w:line="275" w:lineRule="atLeast"/>
            </w:pPr>
            <w:bookmarkStart w:id="348" w:name="co_footnote_F110110408358_1"/>
            <w:hyperlink w:anchor="co_fnRef_F110110408358_ID0EIPAG_1">
              <w:r>
                <w:rPr>
                  <w:rFonts w:ascii="Times New Roman" w:hAnsi="Times New Roman"/>
                  <w:color w:val="006fc4"/>
                  <w:sz w:val="18"/>
                  <w:vertAlign w:val="superscript"/>
                </w:rPr>
                <w:t>110</w:t>
              </w:r>
            </w:hyperlink>
            <w:bookmarkEnd w:id="348"/>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 xml:space="preserve">See </w:t>
            </w:r>
            <w:hyperlink r:id="r110">
              <w:r>
                <w:rPr>
                  <w:rFonts w:ascii="Times New Roman" w:hAnsi="Times New Roman"/>
                  <w:color w:val="006fc4"/>
                  <w:sz w:val="18"/>
                </w:rPr>
                <w:t>Parkinson v. Cal. Co., 233 F.2d 432, 438 (10th Cir. 1956)</w:t>
              </w:r>
            </w:hyperlink>
            <w:r>
              <w:rPr>
                <w:rFonts w:ascii="Times New Roman" w:hAnsi="Times New Roman"/>
                <w:color w:val="1f1f1f"/>
                <w:sz w:val="18"/>
              </w:rPr>
              <w:t>; Henkin, supra note 7, at 1739-42.</w:t>
            </w:r>
          </w:p>
        </w:tc>
      </w:tr>
      <w:tr>
        <w:tblPrEx/>
        <w:trPr/>
        <w:tc>
          <w:tcPr>
            <w:vAlign w:val="top"/>
          </w:tcPr>
          <w:p>
            <w:pPr>
              <w:spacing w:before="0" w:after="0" w:line="275" w:lineRule="atLeast"/>
            </w:pPr>
            <w:bookmarkStart w:id="349" w:name="co_footnote_F111110408358_1"/>
            <w:hyperlink w:anchor="co_fnRef_F111110408358_ID0ELPAG_1">
              <w:r>
                <w:rPr>
                  <w:rFonts w:ascii="Times New Roman" w:hAnsi="Times New Roman"/>
                  <w:color w:val="006fc4"/>
                  <w:sz w:val="18"/>
                  <w:vertAlign w:val="superscript"/>
                </w:rPr>
                <w:t>111</w:t>
              </w:r>
            </w:hyperlink>
            <w:bookmarkEnd w:id="349"/>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 xml:space="preserve">See, e.g., </w:t>
            </w:r>
            <w:hyperlink r:id="r111">
              <w:r>
                <w:rPr>
                  <w:rFonts w:ascii="Times New Roman" w:hAnsi="Times New Roman"/>
                  <w:color w:val="006fc4"/>
                  <w:sz w:val="18"/>
                </w:rPr>
                <w:t>Schultea v. Wood, 47 F.3d 1427, 1431 (5th Cir. 1995)</w:t>
              </w:r>
            </w:hyperlink>
            <w:r>
              <w:rPr>
                <w:rFonts w:ascii="Times New Roman" w:hAnsi="Times New Roman"/>
                <w:color w:val="1f1f1f"/>
                <w:sz w:val="18"/>
              </w:rPr>
              <w:t xml:space="preserve"> (en banc) (discussing the differences in practice between notice pleading and pleading with particularity).</w:t>
            </w:r>
          </w:p>
        </w:tc>
      </w:tr>
      <w:tr>
        <w:tblPrEx/>
        <w:trPr/>
        <w:tc>
          <w:tcPr>
            <w:vAlign w:val="top"/>
          </w:tcPr>
          <w:p>
            <w:pPr>
              <w:spacing w:before="0" w:after="0" w:line="275" w:lineRule="atLeast"/>
            </w:pPr>
            <w:bookmarkStart w:id="350" w:name="co_footnote_F112110408358_1"/>
            <w:hyperlink w:anchor="co_fnRef_F112110408358_ID0EOPAG_1">
              <w:r>
                <w:rPr>
                  <w:rFonts w:ascii="Times New Roman" w:hAnsi="Times New Roman"/>
                  <w:color w:val="006fc4"/>
                  <w:sz w:val="18"/>
                  <w:vertAlign w:val="superscript"/>
                </w:rPr>
                <w:t>112</w:t>
              </w:r>
            </w:hyperlink>
            <w:bookmarkEnd w:id="350"/>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 xml:space="preserve">See </w:t>
            </w:r>
            <w:hyperlink r:id="r112">
              <w:r>
                <w:rPr>
                  <w:rFonts w:ascii="Times New Roman" w:hAnsi="Times New Roman"/>
                  <w:color w:val="006fc4"/>
                  <w:sz w:val="18"/>
                </w:rPr>
                <w:t>id. at 1432-34.</w:t>
              </w:r>
            </w:hyperlink>
          </w:p>
        </w:tc>
      </w:tr>
      <w:tr>
        <w:tblPrEx/>
        <w:trPr/>
        <w:tc>
          <w:tcPr>
            <w:vAlign w:val="top"/>
          </w:tcPr>
          <w:p>
            <w:pPr>
              <w:spacing w:before="0" w:after="0" w:line="275" w:lineRule="atLeast"/>
            </w:pPr>
            <w:bookmarkStart w:id="351" w:name="co_footnote_F113110408358_1"/>
            <w:hyperlink w:anchor="co_fnRef_F113110408358_ID0ERPAG_1">
              <w:r>
                <w:rPr>
                  <w:rFonts w:ascii="Times New Roman" w:hAnsi="Times New Roman"/>
                  <w:color w:val="006fc4"/>
                  <w:sz w:val="18"/>
                  <w:vertAlign w:val="superscript"/>
                </w:rPr>
                <w:t>113</w:t>
              </w:r>
            </w:hyperlink>
            <w:bookmarkEnd w:id="351"/>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 xml:space="preserve">See generally </w:t>
            </w:r>
            <w:hyperlink r:id="r113">
              <w:r>
                <w:rPr>
                  <w:rFonts w:ascii="Times New Roman" w:hAnsi="Times New Roman"/>
                  <w:color w:val="006fc4"/>
                  <w:sz w:val="18"/>
                </w:rPr>
                <w:t>Fed. R. Civ. P. 9(b)</w:t>
              </w:r>
            </w:hyperlink>
            <w:r>
              <w:rPr>
                <w:rFonts w:ascii="Times New Roman" w:hAnsi="Times New Roman"/>
                <w:color w:val="1f1f1f"/>
                <w:sz w:val="18"/>
              </w:rPr>
              <w:t xml:space="preserve"> (requiring that a pleading sounding in fraud must state with particularity the circumstances that constituted fraud); David B. Smith &amp; Terrance G. Reed, Civil RICO § 7.02 (1998) (discussing requirements of </w:t>
            </w:r>
            <w:hyperlink r:id="r114">
              <w:r>
                <w:rPr>
                  <w:rFonts w:ascii="Times New Roman" w:hAnsi="Times New Roman"/>
                  <w:color w:val="006fc4"/>
                  <w:sz w:val="18"/>
                </w:rPr>
                <w:t>Rule 9(b)</w:t>
              </w:r>
            </w:hyperlink>
            <w:r>
              <w:rPr>
                <w:rFonts w:ascii="Times New Roman" w:hAnsi="Times New Roman"/>
                <w:color w:val="1f1f1f"/>
                <w:sz w:val="18"/>
              </w:rPr>
              <w:t xml:space="preserve"> in the context of RICO).</w:t>
            </w:r>
          </w:p>
        </w:tc>
      </w:tr>
      <w:tr>
        <w:tblPrEx/>
        <w:trPr/>
        <w:tc>
          <w:tcPr>
            <w:vAlign w:val="top"/>
          </w:tcPr>
          <w:p>
            <w:pPr>
              <w:spacing w:before="0" w:after="0" w:line="275" w:lineRule="atLeast"/>
            </w:pPr>
            <w:bookmarkStart w:id="352" w:name="co_footnote_F114110408358_1"/>
            <w:hyperlink w:anchor="co_fnRef_F114110408358_ID0EZPAG_1">
              <w:r>
                <w:rPr>
                  <w:rFonts w:ascii="Times New Roman" w:hAnsi="Times New Roman"/>
                  <w:color w:val="006fc4"/>
                  <w:sz w:val="18"/>
                  <w:vertAlign w:val="superscript"/>
                </w:rPr>
                <w:t>114</w:t>
              </w:r>
            </w:hyperlink>
            <w:bookmarkEnd w:id="352"/>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See supra text accompanying notes 77-86.</w:t>
            </w:r>
          </w:p>
        </w:tc>
      </w:tr>
      <w:tr>
        <w:tblPrEx/>
        <w:trPr/>
        <w:tc>
          <w:tcPr>
            <w:vAlign w:val="top"/>
          </w:tcPr>
          <w:p>
            <w:pPr>
              <w:spacing w:before="0" w:after="0" w:line="275" w:lineRule="atLeast"/>
            </w:pPr>
            <w:bookmarkStart w:id="353" w:name="co_footnote_F115110408358_1"/>
            <w:hyperlink w:anchor="co_fnRef_F115110408358_ID0EVQAG_1">
              <w:r>
                <w:rPr>
                  <w:rFonts w:ascii="Times New Roman" w:hAnsi="Times New Roman"/>
                  <w:color w:val="006fc4"/>
                  <w:sz w:val="18"/>
                  <w:vertAlign w:val="superscript"/>
                </w:rPr>
                <w:t>115</w:t>
              </w:r>
            </w:hyperlink>
            <w:bookmarkEnd w:id="353"/>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Cf. Jack H. Friedenthal et al., Civil Procedure 547-48 (1985). Friedenthal states that</w:t>
            </w:r>
          </w:p>
          <w:p>
            <w:pPr>
              <w:pBdr>
                <w:bottom w:val="none" w:space="8"/>
              </w:pBdr>
              <w:spacing w:before="0" w:after="0" w:line="255" w:lineRule="atLeast"/>
              <w:jc w:val="both"/>
            </w:pPr>
            <w:r>
              <w:rPr>
                <w:rFonts w:ascii="Times New Roman" w:hAnsi="Times New Roman"/>
                <w:color w:val="1f1f1f"/>
                <w:sz w:val="18"/>
              </w:rPr>
              <w:t>an assertion that credibility is at issue, resting alone, will not suffice to prevent the court from directing a verdict if all of the objective or indisputable evidence indicates that a particular piece of testimony is incredible. Conversely, uncontradicted, disinterested testimony may support the entry of a directed verdict, since the jury should not be allowed to disbelieve that testimony. The court is not weighing the evidence under these circumstances, rather it is determining that there is not sufficient evidence to create an issue of credibility.</w:t>
            </w:r>
          </w:p>
          <w:p>
            <w:pPr>
              <w:pBdr>
                <w:bottom w:val="none" w:space="8"/>
              </w:pBdr>
              <w:spacing w:before="0" w:after="0" w:line="255" w:lineRule="atLeast"/>
              <w:jc w:val="both"/>
            </w:pPr>
            <w:r>
              <w:rPr>
                <w:rFonts w:ascii="Times New Roman" w:hAnsi="Times New Roman"/>
                <w:color w:val="1f1f1f"/>
                <w:sz w:val="18"/>
              </w:rPr>
              <w:t>Id. (footnote omitted).</w:t>
            </w:r>
          </w:p>
        </w:tc>
      </w:tr>
      <w:tr>
        <w:tblPrEx/>
        <w:trPr/>
        <w:tc>
          <w:tcPr>
            <w:vAlign w:val="top"/>
          </w:tcPr>
          <w:p>
            <w:pPr>
              <w:spacing w:before="0" w:after="0" w:line="275" w:lineRule="atLeast"/>
            </w:pPr>
            <w:bookmarkStart w:id="354" w:name="co_footnote_F116110408358_1"/>
            <w:hyperlink w:anchor="co_fnRef_F116110408358_ID0EZQAG_1">
              <w:r>
                <w:rPr>
                  <w:rFonts w:ascii="Times New Roman" w:hAnsi="Times New Roman"/>
                  <w:color w:val="006fc4"/>
                  <w:sz w:val="18"/>
                  <w:vertAlign w:val="superscript"/>
                </w:rPr>
                <w:t>116</w:t>
              </w:r>
            </w:hyperlink>
            <w:bookmarkEnd w:id="354"/>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This approach addresses many of the old criticisms of early commentators who compared admissions and estoppel. See supra notes 107-109 and accompanying text. The request for admission bridges that gap in many cases by allowing a party to convert an estoppel into an admission.</w:t>
            </w:r>
          </w:p>
        </w:tc>
      </w:tr>
      <w:tr>
        <w:tblPrEx/>
        <w:trPr/>
        <w:tc>
          <w:tcPr>
            <w:vAlign w:val="top"/>
          </w:tcPr>
          <w:p>
            <w:pPr>
              <w:spacing w:before="0" w:after="0" w:line="275" w:lineRule="atLeast"/>
            </w:pPr>
            <w:bookmarkStart w:id="355" w:name="co_footnote_F117110408358_1"/>
            <w:hyperlink w:anchor="co_fnRef_F117110408358_ID0EJRAG_1">
              <w:r>
                <w:rPr>
                  <w:rFonts w:ascii="Times New Roman" w:hAnsi="Times New Roman"/>
                  <w:color w:val="006fc4"/>
                  <w:sz w:val="18"/>
                  <w:vertAlign w:val="superscript"/>
                </w:rPr>
                <w:t>117</w:t>
              </w:r>
            </w:hyperlink>
            <w:bookmarkEnd w:id="355"/>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 xml:space="preserve">The doctrine has been characterized as applying “merely by the fact of having alleged or admitted in ... pleadings in a former proceeding under oath,” </w:t>
            </w:r>
            <w:hyperlink r:id="r115">
              <w:r>
                <w:rPr>
                  <w:rFonts w:ascii="Times New Roman" w:hAnsi="Times New Roman"/>
                  <w:color w:val="006fc4"/>
                  <w:sz w:val="18"/>
                </w:rPr>
                <w:t>Bergman v. Aldermen, 955 F.2d 660, 664 n.3 (11th Cir. 1992)</w:t>
              </w:r>
            </w:hyperlink>
            <w:r>
              <w:rPr>
                <w:rFonts w:ascii="Times New Roman" w:hAnsi="Times New Roman"/>
                <w:color w:val="1f1f1f"/>
                <w:sz w:val="18"/>
              </w:rPr>
              <w:t xml:space="preserve">, but that characterization has not been generally followed. See, e.g., </w:t>
            </w:r>
            <w:hyperlink r:id="r116">
              <w:r>
                <w:rPr>
                  <w:rFonts w:ascii="Times New Roman" w:hAnsi="Times New Roman"/>
                  <w:color w:val="006fc4"/>
                  <w:sz w:val="18"/>
                </w:rPr>
                <w:t>Sumner v. Michelin North Am., Inc., 966 F. Supp. 1567, 1578 n.10 (M.D. Ala. 1997)</w:t>
              </w:r>
            </w:hyperlink>
            <w:r>
              <w:rPr>
                <w:rFonts w:ascii="Times New Roman" w:hAnsi="Times New Roman"/>
                <w:color w:val="1f1f1f"/>
                <w:sz w:val="18"/>
              </w:rPr>
              <w:t xml:space="preserve"> (indicating the directive from Bergman was not even applied in Bergman and can therefore not be binding precedent).</w:t>
            </w:r>
          </w:p>
        </w:tc>
      </w:tr>
      <w:tr>
        <w:tblPrEx/>
        <w:trPr/>
        <w:tc>
          <w:tcPr>
            <w:vAlign w:val="top"/>
          </w:tcPr>
          <w:p>
            <w:pPr>
              <w:spacing w:before="0" w:after="0" w:line="275" w:lineRule="atLeast"/>
            </w:pPr>
            <w:bookmarkStart w:id="356" w:name="co_footnote_F118110408358_1"/>
            <w:hyperlink w:anchor="co_fnRef_F118110408358_ID0EMRAG_1">
              <w:r>
                <w:rPr>
                  <w:rFonts w:ascii="Times New Roman" w:hAnsi="Times New Roman"/>
                  <w:color w:val="006fc4"/>
                  <w:sz w:val="18"/>
                  <w:vertAlign w:val="superscript"/>
                </w:rPr>
                <w:t>118</w:t>
              </w:r>
            </w:hyperlink>
            <w:bookmarkEnd w:id="356"/>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See supra notes 7-9 and accompanying text.</w:t>
            </w:r>
          </w:p>
        </w:tc>
      </w:tr>
      <w:tr>
        <w:tblPrEx/>
        <w:trPr/>
        <w:tc>
          <w:tcPr>
            <w:vAlign w:val="top"/>
          </w:tcPr>
          <w:p>
            <w:pPr>
              <w:spacing w:before="0" w:after="0" w:line="275" w:lineRule="atLeast"/>
            </w:pPr>
            <w:bookmarkStart w:id="357" w:name="co_footnote_F119110408358_1"/>
            <w:hyperlink w:anchor="co_fnRef_F119110408358_ID0EWRAG_1">
              <w:r>
                <w:rPr>
                  <w:rFonts w:ascii="Times New Roman" w:hAnsi="Times New Roman"/>
                  <w:color w:val="006fc4"/>
                  <w:sz w:val="18"/>
                  <w:vertAlign w:val="superscript"/>
                </w:rPr>
                <w:t>119</w:t>
              </w:r>
            </w:hyperlink>
            <w:bookmarkEnd w:id="357"/>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 xml:space="preserve">See supra note 86 and accompanying text. But cf. </w:t>
            </w:r>
            <w:hyperlink r:id="r117">
              <w:r>
                <w:rPr>
                  <w:rFonts w:ascii="Times New Roman" w:hAnsi="Times New Roman"/>
                  <w:color w:val="006fc4"/>
                  <w:sz w:val="18"/>
                </w:rPr>
                <w:t>31 C.J.S. Estoppel and Waiver § 145, at 618 (1996)</w:t>
              </w:r>
            </w:hyperlink>
            <w:r>
              <w:rPr>
                <w:rFonts w:ascii="Times New Roman" w:hAnsi="Times New Roman"/>
                <w:color w:val="1f1f1f"/>
                <w:sz w:val="18"/>
              </w:rPr>
              <w:t xml:space="preserve"> (“[I]t is the general rule that a party is bound by his judicial declarations, and may not contradict them in a subsequent proceeding involving the same parties and questions.”).</w:t>
            </w:r>
          </w:p>
        </w:tc>
      </w:tr>
      <w:tr>
        <w:tblPrEx/>
        <w:trPr/>
        <w:tc>
          <w:tcPr>
            <w:vAlign w:val="top"/>
          </w:tcPr>
          <w:p>
            <w:pPr>
              <w:spacing w:before="0" w:after="0" w:line="275" w:lineRule="atLeast"/>
            </w:pPr>
            <w:bookmarkStart w:id="358" w:name="co_footnote_F120110408358_1"/>
            <w:hyperlink w:anchor="co_fnRef_F120110408358_ID0EZRAG_1">
              <w:r>
                <w:rPr>
                  <w:rFonts w:ascii="Times New Roman" w:hAnsi="Times New Roman"/>
                  <w:color w:val="006fc4"/>
                  <w:sz w:val="18"/>
                  <w:vertAlign w:val="superscript"/>
                </w:rPr>
                <w:t>120</w:t>
              </w:r>
            </w:hyperlink>
            <w:bookmarkEnd w:id="358"/>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See generally Malone, supra note 25, at 1-2 (summarizing the decisions of early Tennessee opinions on the significance of the oath).</w:t>
            </w:r>
          </w:p>
        </w:tc>
      </w:tr>
      <w:tr>
        <w:tblPrEx/>
        <w:trPr/>
        <w:tc>
          <w:tcPr>
            <w:vAlign w:val="top"/>
          </w:tcPr>
          <w:p>
            <w:pPr>
              <w:spacing w:before="0" w:after="0" w:line="275" w:lineRule="atLeast"/>
            </w:pPr>
            <w:bookmarkStart w:id="359" w:name="co_footnote_F121110408358_1"/>
            <w:hyperlink w:anchor="co_fnRef_F121110408358_ID0EASAG_1">
              <w:r>
                <w:rPr>
                  <w:rFonts w:ascii="Times New Roman" w:hAnsi="Times New Roman"/>
                  <w:color w:val="006fc4"/>
                  <w:sz w:val="18"/>
                  <w:vertAlign w:val="superscript"/>
                </w:rPr>
                <w:t>121</w:t>
              </w:r>
            </w:hyperlink>
            <w:bookmarkEnd w:id="359"/>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 xml:space="preserve">See generally Boyers, supra note 23, at 1254, 1260 (suggesting that consistent application of the doctrine promotes honest conduct by litigants while also acknowledging flaws in the doctrine) cf. </w:t>
            </w:r>
            <w:hyperlink r:id="r118">
              <w:r>
                <w:rPr>
                  <w:rFonts w:ascii="Times New Roman" w:hAnsi="Times New Roman"/>
                  <w:color w:val="006fc4"/>
                  <w:sz w:val="18"/>
                </w:rPr>
                <w:t>Manis v. Galyon, 1996 WL 155256, *3 (Tenn. Ct. App. April 4, 1996)</w:t>
              </w:r>
            </w:hyperlink>
            <w:r>
              <w:rPr>
                <w:rFonts w:ascii="Times New Roman" w:hAnsi="Times New Roman"/>
                <w:color w:val="1f1f1f"/>
                <w:sz w:val="18"/>
              </w:rPr>
              <w:t xml:space="preserve"> (noting abolition of judicial admissions doctrine in Tennessee, a jurisdiction noted for its strong use of judicial estoppel doctrine in connection with statements made under oath).</w:t>
            </w:r>
          </w:p>
        </w:tc>
      </w:tr>
      <w:tr>
        <w:tblPrEx/>
        <w:trPr/>
        <w:tc>
          <w:tcPr>
            <w:vAlign w:val="top"/>
          </w:tcPr>
          <w:p>
            <w:pPr>
              <w:spacing w:before="0" w:after="0" w:line="275" w:lineRule="atLeast"/>
            </w:pPr>
            <w:bookmarkStart w:id="360" w:name="co_footnote_F122110408358_1"/>
            <w:hyperlink w:anchor="co_fnRef_F122110408358_ID0EZSAG_1">
              <w:r>
                <w:rPr>
                  <w:rFonts w:ascii="Times New Roman" w:hAnsi="Times New Roman"/>
                  <w:color w:val="006fc4"/>
                  <w:sz w:val="18"/>
                  <w:vertAlign w:val="superscript"/>
                </w:rPr>
                <w:t>122</w:t>
              </w:r>
            </w:hyperlink>
            <w:bookmarkEnd w:id="360"/>
          </w:p>
        </w:tc>
        <w:tc>
          <w:tcPr>
            <w:tcMar>
              <w:top w:w="90" w:type="dxa"/>
              <w:bottom w:w="90" w:type="dxa"/>
            </w:tcMar>
            <w:vAlign w:val="top"/>
          </w:tcPr>
          <w:p>
            <w:pPr>
              <w:pBdr>
                <w:bottom w:val="none" w:space="8"/>
              </w:pBdr>
              <w:spacing w:before="0" w:after="0" w:line="255" w:lineRule="atLeast"/>
              <w:jc w:val="both"/>
            </w:pPr>
            <w:hyperlink r:id="r119">
              <w:r>
                <w:rPr>
                  <w:rFonts w:ascii="Times New Roman" w:hAnsi="Times New Roman"/>
                  <w:color w:val="006fc4"/>
                  <w:sz w:val="18"/>
                </w:rPr>
                <w:t>Chaveriat v. Williams Pipe Line Co., 11 F.3d 1420, 1428 (7th Cir. 1993)</w:t>
              </w:r>
            </w:hyperlink>
            <w:r>
              <w:rPr>
                <w:rFonts w:ascii="Times New Roman" w:hAnsi="Times New Roman"/>
                <w:color w:val="1f1f1f"/>
                <w:sz w:val="18"/>
              </w:rPr>
              <w:t>.</w:t>
            </w:r>
          </w:p>
        </w:tc>
      </w:tr>
      <w:tr>
        <w:tblPrEx/>
        <w:trPr/>
        <w:tc>
          <w:tcPr>
            <w:vAlign w:val="top"/>
          </w:tcPr>
          <w:p>
            <w:pPr>
              <w:spacing w:before="0" w:after="0" w:line="275" w:lineRule="atLeast"/>
            </w:pPr>
            <w:bookmarkStart w:id="361" w:name="co_footnote_F123110408358_1"/>
            <w:hyperlink w:anchor="co_fnRef_F123110408358_ID0EATAG_1">
              <w:r>
                <w:rPr>
                  <w:rFonts w:ascii="Times New Roman" w:hAnsi="Times New Roman"/>
                  <w:color w:val="006fc4"/>
                  <w:sz w:val="18"/>
                  <w:vertAlign w:val="superscript"/>
                </w:rPr>
                <w:t>123</w:t>
              </w:r>
            </w:hyperlink>
            <w:bookmarkEnd w:id="361"/>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To the extent the proposed test eliminates uncertainty about the doctrine, it should help the doctrine operate more effectively. See generally Richard A. Posner, Economic Analysis of Law 21 (5th ed. 1998) (discussing the role of economic incentives in decisionmaking).</w:t>
            </w:r>
          </w:p>
        </w:tc>
      </w:tr>
      <w:tr>
        <w:tblPrEx/>
        <w:trPr/>
        <w:tc>
          <w:tcPr>
            <w:vAlign w:val="top"/>
          </w:tcPr>
          <w:p>
            <w:pPr>
              <w:spacing w:before="0" w:after="0" w:line="275" w:lineRule="atLeast"/>
            </w:pPr>
            <w:bookmarkStart w:id="362" w:name="co_footnote_F124110408358_1"/>
            <w:hyperlink w:anchor="co_fnRef_F124110408358_ID0EZTAG_1">
              <w:r>
                <w:rPr>
                  <w:rFonts w:ascii="Times New Roman" w:hAnsi="Times New Roman"/>
                  <w:color w:val="006fc4"/>
                  <w:sz w:val="18"/>
                  <w:vertAlign w:val="superscript"/>
                </w:rPr>
                <w:t>124</w:t>
              </w:r>
            </w:hyperlink>
            <w:bookmarkEnd w:id="362"/>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This test is also consistent with the approach taken by jurisdictions that focus on whether the prior statement was “significant.” See supra note 41. If a statement was not of significance in an earlier lawsuit, it seems unlikely that it could gain so much significance in a later lawsuit that it would preclude a position or affect the resolution of a significant issue in that later suit.</w:t>
            </w:r>
          </w:p>
        </w:tc>
      </w:tr>
      <w:tr>
        <w:tblPrEx/>
        <w:trPr/>
        <w:tc>
          <w:tcPr>
            <w:vAlign w:val="top"/>
          </w:tcPr>
          <w:p>
            <w:pPr>
              <w:spacing w:before="0" w:after="0" w:line="275" w:lineRule="atLeast"/>
            </w:pPr>
            <w:bookmarkStart w:id="363" w:name="co_footnote_F125110408358_1"/>
            <w:hyperlink w:anchor="co_fnRef_F125110408358_ID0ELUAG_1">
              <w:r>
                <w:rPr>
                  <w:rFonts w:ascii="Times New Roman" w:hAnsi="Times New Roman"/>
                  <w:color w:val="006fc4"/>
                  <w:sz w:val="18"/>
                  <w:vertAlign w:val="superscript"/>
                </w:rPr>
                <w:t>125</w:t>
              </w:r>
            </w:hyperlink>
            <w:bookmarkEnd w:id="363"/>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 xml:space="preserve">See supra notes 73-82 and accompanying text. This reminder is particularly important in the context of litigation about the judicial estoppel effect of statements made in administrative proceedings that precede Americans with Disability Act lawsuits. For a flavor of the burgeoning literature on this issue, see generally </w:t>
            </w:r>
            <w:hyperlink r:id="r120">
              <w:r>
                <w:rPr>
                  <w:rFonts w:ascii="Times New Roman" w:hAnsi="Times New Roman"/>
                  <w:color w:val="006fc4"/>
                  <w:sz w:val="18"/>
                </w:rPr>
                <w:t>Maureen C. Weston, The Road Best Traveled: Removing Judicial Roadblocks That Prevent Workers From Obtaining Both Disability Benefits and ADA Civil Rights Protection, 26 Hofstra L. Rev. 377 (1997)</w:t>
              </w:r>
            </w:hyperlink>
            <w:r>
              <w:rPr>
                <w:rFonts w:ascii="Times New Roman" w:hAnsi="Times New Roman"/>
                <w:color w:val="1f1f1f"/>
                <w:sz w:val="18"/>
              </w:rPr>
              <w:t xml:space="preserve"> (concluding that courts should decline to apply judicial estoppel in cases involving the Americans with Disabilities Act); Wendy Wilkinson, </w:t>
            </w:r>
            <w:hyperlink r:id="r121">
              <w:r>
                <w:rPr>
                  <w:rFonts w:ascii="Times New Roman" w:hAnsi="Times New Roman"/>
                  <w:color w:val="006fc4"/>
                  <w:sz w:val="18"/>
                </w:rPr>
                <w:t>Judicially Crafted Barriers to Bringing Suit Under the Americans With Disabilities Act, 38 S. Tex. L. Rev. 907 (1997)</w:t>
              </w:r>
            </w:hyperlink>
            <w:r>
              <w:rPr>
                <w:rFonts w:ascii="Times New Roman" w:hAnsi="Times New Roman"/>
                <w:color w:val="1f1f1f"/>
                <w:sz w:val="18"/>
              </w:rPr>
              <w:t xml:space="preserve"> (analyzing the highly debated issue of proving that an individual has a disability covered by law when judges dismiss claims based on representations in other areas); Anne E. Beaumont, Note, This </w:t>
            </w:r>
            <w:hyperlink r:id="r122">
              <w:r>
                <w:rPr>
                  <w:rFonts w:ascii="Times New Roman" w:hAnsi="Times New Roman"/>
                  <w:color w:val="006fc4"/>
                  <w:sz w:val="18"/>
                </w:rPr>
                <w:t>Estoppel Has Got to Stop: Judicial Estoppel and the Americans With Disabilities Act, 71 N.Y.U. L. Rev. 1529 (1996)</w:t>
              </w:r>
            </w:hyperlink>
            <w:r>
              <w:rPr>
                <w:rFonts w:ascii="Times New Roman" w:hAnsi="Times New Roman"/>
                <w:color w:val="1f1f1f"/>
                <w:sz w:val="18"/>
              </w:rPr>
              <w:t xml:space="preserve"> (proposing alternatives to using judicial estoppel in ADA cases); Andrea Christensen Luby, </w:t>
            </w:r>
            <w:hyperlink r:id="r123">
              <w:r>
                <w:rPr>
                  <w:rFonts w:ascii="Times New Roman" w:hAnsi="Times New Roman"/>
                  <w:color w:val="006fc4"/>
                  <w:sz w:val="18"/>
                </w:rPr>
                <w:t>Note, Estopping Enforcement of the Americans With Disabilities Act, 13 J. L. &amp; Pol. 415 (1997)</w:t>
              </w:r>
            </w:hyperlink>
            <w:r>
              <w:rPr>
                <w:rFonts w:ascii="Times New Roman" w:hAnsi="Times New Roman"/>
                <w:color w:val="1f1f1f"/>
                <w:sz w:val="18"/>
              </w:rPr>
              <w:t xml:space="preserve"> (criticizing application of judicial estoppel in ADA cases); Marney Collins Sims, Comment, </w:t>
            </w:r>
            <w:hyperlink r:id="r124">
              <w:r>
                <w:rPr>
                  <w:rFonts w:ascii="Times New Roman" w:hAnsi="Times New Roman"/>
                  <w:color w:val="006fc4"/>
                  <w:sz w:val="18"/>
                </w:rPr>
                <w:t>Estop It! Judicial Estoppel and its Use in Americans With Disabilities Act Litigation, 34 Hous. L. Rev. 843 (1997)</w:t>
              </w:r>
            </w:hyperlink>
            <w:r>
              <w:rPr>
                <w:rFonts w:ascii="Times New Roman" w:hAnsi="Times New Roman"/>
                <w:color w:val="1f1f1f"/>
                <w:sz w:val="18"/>
              </w:rPr>
              <w:t xml:space="preserve"> (discussing the split among federal circuits and advocating that future courts examine all of the circumstances in order to determine a claimant's status with respect to the Americans with Disabilities Act). The merits of the various policy judgments made about judicial estoppel doctrine in these articles is beyond the scope of this Article. A basic point to remember, however, is that the legal context of the admission must be kept in mind to give it accurate effect in a judicial estoppel analysis.</w:t>
            </w:r>
          </w:p>
        </w:tc>
      </w:tr>
      <w:tr>
        <w:tblPrEx/>
        <w:trPr/>
        <w:tc>
          <w:tcPr>
            <w:vAlign w:val="top"/>
          </w:tcPr>
          <w:p>
            <w:pPr>
              <w:spacing w:before="0" w:after="0" w:line="275" w:lineRule="atLeast"/>
            </w:pPr>
            <w:bookmarkStart w:id="364" w:name="co_footnote_F126110408358_1"/>
            <w:hyperlink w:anchor="co_fnRef_F126110408358_ID0EPUAG_1">
              <w:r>
                <w:rPr>
                  <w:rFonts w:ascii="Times New Roman" w:hAnsi="Times New Roman"/>
                  <w:color w:val="006fc4"/>
                  <w:sz w:val="18"/>
                  <w:vertAlign w:val="superscript"/>
                </w:rPr>
                <w:t>126</w:t>
              </w:r>
            </w:hyperlink>
            <w:bookmarkEnd w:id="364"/>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See Sims, supra note 125, at 843.</w:t>
            </w:r>
          </w:p>
        </w:tc>
      </w:tr>
      <w:tr>
        <w:tblPrEx/>
        <w:trPr/>
        <w:tc>
          <w:tcPr>
            <w:vAlign w:val="top"/>
          </w:tcPr>
          <w:p>
            <w:pPr>
              <w:spacing w:before="0" w:after="0" w:line="275" w:lineRule="atLeast"/>
            </w:pPr>
            <w:bookmarkStart w:id="365" w:name="co_footnote_F127110408358_1"/>
            <w:hyperlink w:anchor="co_fnRef_F127110408358_ID0E3UAG_1">
              <w:r>
                <w:rPr>
                  <w:rFonts w:ascii="Times New Roman" w:hAnsi="Times New Roman"/>
                  <w:color w:val="006fc4"/>
                  <w:sz w:val="18"/>
                  <w:vertAlign w:val="superscript"/>
                </w:rPr>
                <w:t>127</w:t>
              </w:r>
            </w:hyperlink>
            <w:bookmarkEnd w:id="365"/>
          </w:p>
        </w:tc>
        <w:tc>
          <w:tcPr>
            <w:tcMar>
              <w:top w:w="90" w:type="dxa"/>
              <w:bottom w:w="90" w:type="dxa"/>
            </w:tcMar>
            <w:vAlign w:val="top"/>
          </w:tcPr>
          <w:p>
            <w:pPr>
              <w:pBdr>
                <w:bottom w:val="none" w:space="8"/>
              </w:pBdr>
              <w:spacing w:before="0" w:after="0" w:line="255" w:lineRule="atLeast"/>
              <w:jc w:val="both"/>
            </w:pPr>
            <w:hyperlink r:id="r125">
              <w:r>
                <w:rPr>
                  <w:rFonts w:ascii="Times New Roman" w:hAnsi="Times New Roman"/>
                  <w:color w:val="006fc4"/>
                  <w:sz w:val="18"/>
                </w:rPr>
                <w:t>433 N.E.2d 1112 (Ill. App. Ct. 1982)</w:t>
              </w:r>
            </w:hyperlink>
            <w:r>
              <w:rPr>
                <w:rFonts w:ascii="Times New Roman" w:hAnsi="Times New Roman"/>
                <w:color w:val="1f1f1f"/>
                <w:sz w:val="18"/>
              </w:rPr>
              <w:t>.</w:t>
            </w:r>
          </w:p>
        </w:tc>
      </w:tr>
      <w:tr>
        <w:tblPrEx/>
        <w:trPr/>
        <w:tc>
          <w:tcPr>
            <w:vAlign w:val="top"/>
          </w:tcPr>
          <w:p>
            <w:pPr>
              <w:spacing w:before="0" w:after="0" w:line="275" w:lineRule="atLeast"/>
            </w:pPr>
            <w:bookmarkStart w:id="366" w:name="co_footnote_F128110408358_1"/>
            <w:hyperlink w:anchor="co_fnRef_F128110408358_ID0EMVAG_1">
              <w:r>
                <w:rPr>
                  <w:rFonts w:ascii="Times New Roman" w:hAnsi="Times New Roman"/>
                  <w:color w:val="006fc4"/>
                  <w:sz w:val="18"/>
                  <w:vertAlign w:val="superscript"/>
                </w:rPr>
                <w:t>128</w:t>
              </w:r>
            </w:hyperlink>
            <w:bookmarkEnd w:id="366"/>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 xml:space="preserve">See </w:t>
            </w:r>
            <w:hyperlink r:id="r126">
              <w:r>
                <w:rPr>
                  <w:rFonts w:ascii="Times New Roman" w:hAnsi="Times New Roman"/>
                  <w:color w:val="006fc4"/>
                  <w:sz w:val="18"/>
                </w:rPr>
                <w:t>id. at 1118-19.</w:t>
              </w:r>
            </w:hyperlink>
          </w:p>
        </w:tc>
      </w:tr>
      <w:tr>
        <w:tblPrEx/>
        <w:trPr/>
        <w:tc>
          <w:tcPr>
            <w:vAlign w:val="top"/>
          </w:tcPr>
          <w:p>
            <w:pPr>
              <w:spacing w:before="0" w:after="0" w:line="275" w:lineRule="atLeast"/>
            </w:pPr>
            <w:bookmarkStart w:id="367" w:name="co_footnote_F129110408358_1"/>
            <w:hyperlink w:anchor="co_fnRef_F129110408358_ID0ERVAG_1">
              <w:r>
                <w:rPr>
                  <w:rFonts w:ascii="Times New Roman" w:hAnsi="Times New Roman"/>
                  <w:color w:val="006fc4"/>
                  <w:sz w:val="18"/>
                  <w:vertAlign w:val="superscript"/>
                </w:rPr>
                <w:t>129</w:t>
              </w:r>
            </w:hyperlink>
            <w:bookmarkEnd w:id="367"/>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See Henkin, supra note 7, at 1714 n.15.</w:t>
            </w:r>
          </w:p>
        </w:tc>
      </w:tr>
      <w:tr>
        <w:tblPrEx/>
        <w:trPr/>
        <w:tc>
          <w:tcPr>
            <w:vAlign w:val="top"/>
          </w:tcPr>
          <w:p>
            <w:pPr>
              <w:spacing w:before="0" w:after="0" w:line="275" w:lineRule="atLeast"/>
            </w:pPr>
            <w:bookmarkStart w:id="368" w:name="co_footnote_F130110408358_1"/>
            <w:hyperlink w:anchor="co_fnRef_F130110408358_ID0EUVAG_1">
              <w:r>
                <w:rPr>
                  <w:rFonts w:ascii="Times New Roman" w:hAnsi="Times New Roman"/>
                  <w:color w:val="006fc4"/>
                  <w:sz w:val="18"/>
                  <w:vertAlign w:val="superscript"/>
                </w:rPr>
                <w:t>130</w:t>
              </w:r>
            </w:hyperlink>
            <w:bookmarkEnd w:id="368"/>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 xml:space="preserve">See </w:t>
            </w:r>
            <w:hyperlink r:id="r127">
              <w:r>
                <w:rPr>
                  <w:rFonts w:ascii="Times New Roman" w:hAnsi="Times New Roman"/>
                  <w:color w:val="006fc4"/>
                  <w:sz w:val="18"/>
                </w:rPr>
                <w:t>Brody v. Brody (In re Brody), 3 F.3d 35, 39 (2d Cir. 1993)</w:t>
              </w:r>
            </w:hyperlink>
            <w:r>
              <w:rPr>
                <w:rFonts w:ascii="Times New Roman" w:hAnsi="Times New Roman"/>
                <w:color w:val="1f1f1f"/>
                <w:sz w:val="18"/>
              </w:rPr>
              <w:t xml:space="preserve"> (declining to apply judicial estoppel because of the difference between two similarly-named concepts under state and federal law).</w:t>
            </w:r>
          </w:p>
        </w:tc>
      </w:tr>
      <w:tr>
        <w:tblPrEx/>
        <w:trPr/>
        <w:tc>
          <w:tcPr>
            <w:vAlign w:val="top"/>
          </w:tcPr>
          <w:p>
            <w:pPr>
              <w:spacing w:before="0" w:after="0" w:line="275" w:lineRule="atLeast"/>
            </w:pPr>
            <w:bookmarkStart w:id="369" w:name="co_footnote_F131110408358_1"/>
            <w:hyperlink w:anchor="co_fnRef_F131110408358_ID0EDWAG_1">
              <w:r>
                <w:rPr>
                  <w:rFonts w:ascii="Times New Roman" w:hAnsi="Times New Roman"/>
                  <w:color w:val="006fc4"/>
                  <w:sz w:val="18"/>
                  <w:vertAlign w:val="superscript"/>
                </w:rPr>
                <w:t>131</w:t>
              </w:r>
            </w:hyperlink>
            <w:bookmarkEnd w:id="369"/>
          </w:p>
        </w:tc>
        <w:tc>
          <w:tcPr>
            <w:tcMar>
              <w:top w:w="90" w:type="dxa"/>
              <w:bottom w:w="90" w:type="dxa"/>
            </w:tcMar>
            <w:vAlign w:val="top"/>
          </w:tcPr>
          <w:p>
            <w:pPr>
              <w:pBdr>
                <w:bottom w:val="none" w:space="8"/>
              </w:pBdr>
              <w:spacing w:before="0" w:after="0" w:line="255" w:lineRule="atLeast"/>
              <w:jc w:val="both"/>
            </w:pPr>
            <w:hyperlink r:id="r128">
              <w:r>
                <w:rPr>
                  <w:rFonts w:ascii="Times New Roman" w:hAnsi="Times New Roman"/>
                  <w:color w:val="006fc4"/>
                  <w:sz w:val="18"/>
                </w:rPr>
                <w:t>Parkinson v. Cal. Co., 233 F.2d 432 (10th Cir. 1956)</w:t>
              </w:r>
            </w:hyperlink>
            <w:r>
              <w:rPr>
                <w:rFonts w:ascii="Times New Roman" w:hAnsi="Times New Roman"/>
                <w:color w:val="1f1f1f"/>
                <w:sz w:val="18"/>
              </w:rPr>
              <w:t>; see supra Part II.A.2.</w:t>
            </w:r>
          </w:p>
        </w:tc>
      </w:tr>
      <w:tr>
        <w:tblPrEx/>
        <w:trPr/>
        <w:tc>
          <w:tcPr>
            <w:vAlign w:val="top"/>
          </w:tcPr>
          <w:p>
            <w:pPr>
              <w:spacing w:before="0" w:after="0" w:line="275" w:lineRule="atLeast"/>
            </w:pPr>
            <w:bookmarkStart w:id="370" w:name="co_footnote_F132110408358_1"/>
            <w:hyperlink w:anchor="co_fnRef_F132110408358_ID0ELWAG_1">
              <w:r>
                <w:rPr>
                  <w:rFonts w:ascii="Times New Roman" w:hAnsi="Times New Roman"/>
                  <w:color w:val="006fc4"/>
                  <w:sz w:val="18"/>
                  <w:vertAlign w:val="superscript"/>
                </w:rPr>
                <w:t>132</w:t>
              </w:r>
            </w:hyperlink>
            <w:bookmarkEnd w:id="370"/>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 xml:space="preserve">See </w:t>
            </w:r>
            <w:hyperlink r:id="r129">
              <w:r>
                <w:rPr>
                  <w:rFonts w:ascii="Times New Roman" w:hAnsi="Times New Roman"/>
                  <w:color w:val="006fc4"/>
                  <w:sz w:val="18"/>
                </w:rPr>
                <w:t>id. at 433-36.</w:t>
              </w:r>
            </w:hyperlink>
          </w:p>
        </w:tc>
      </w:tr>
      <w:tr>
        <w:tblPrEx/>
        <w:trPr/>
        <w:tc>
          <w:tcPr>
            <w:vAlign w:val="top"/>
          </w:tcPr>
          <w:p>
            <w:pPr>
              <w:spacing w:before="0" w:after="0" w:line="275" w:lineRule="atLeast"/>
            </w:pPr>
            <w:bookmarkStart w:id="371" w:name="co_footnote_F133110408358_1"/>
            <w:hyperlink w:anchor="co_fnRef_F133110408358_ID0ESWAG_1">
              <w:r>
                <w:rPr>
                  <w:rFonts w:ascii="Times New Roman" w:hAnsi="Times New Roman"/>
                  <w:color w:val="006fc4"/>
                  <w:sz w:val="18"/>
                  <w:vertAlign w:val="superscript"/>
                </w:rPr>
                <w:t>133</w:t>
              </w:r>
            </w:hyperlink>
            <w:bookmarkEnd w:id="371"/>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 xml:space="preserve">See </w:t>
            </w:r>
            <w:hyperlink r:id="r130">
              <w:r>
                <w:rPr>
                  <w:rFonts w:ascii="Times New Roman" w:hAnsi="Times New Roman"/>
                  <w:color w:val="006fc4"/>
                  <w:sz w:val="18"/>
                </w:rPr>
                <w:t>id. at 438.</w:t>
              </w:r>
            </w:hyperlink>
          </w:p>
        </w:tc>
      </w:tr>
      <w:tr>
        <w:tblPrEx/>
        <w:trPr/>
        <w:tc>
          <w:tcPr>
            <w:vAlign w:val="top"/>
          </w:tcPr>
          <w:p>
            <w:pPr>
              <w:spacing w:before="0" w:after="0" w:line="275" w:lineRule="atLeast"/>
            </w:pPr>
            <w:bookmarkStart w:id="372" w:name="co_footnote_F134110408358_1"/>
            <w:hyperlink w:anchor="co_fnRef_F134110408358_ID0EEXAG_1">
              <w:r>
                <w:rPr>
                  <w:rFonts w:ascii="Times New Roman" w:hAnsi="Times New Roman"/>
                  <w:color w:val="006fc4"/>
                  <w:sz w:val="18"/>
                  <w:vertAlign w:val="superscript"/>
                </w:rPr>
                <w:t>134</w:t>
              </w:r>
            </w:hyperlink>
            <w:bookmarkEnd w:id="372"/>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See supra notes 83-86 and accompanying text.</w:t>
            </w:r>
          </w:p>
        </w:tc>
      </w:tr>
      <w:tr>
        <w:tblPrEx/>
        <w:trPr/>
        <w:tc>
          <w:tcPr>
            <w:vAlign w:val="top"/>
          </w:tcPr>
          <w:p>
            <w:pPr>
              <w:spacing w:before="0" w:after="0" w:line="275" w:lineRule="atLeast"/>
            </w:pPr>
            <w:bookmarkStart w:id="373" w:name="co_footnote_F135110408358_1"/>
            <w:hyperlink w:anchor="co_fnRef_F135110408358_ID0EJXAG_1">
              <w:r>
                <w:rPr>
                  <w:rFonts w:ascii="Times New Roman" w:hAnsi="Times New Roman"/>
                  <w:color w:val="006fc4"/>
                  <w:sz w:val="18"/>
                  <w:vertAlign w:val="superscript"/>
                </w:rPr>
                <w:t>135</w:t>
              </w:r>
            </w:hyperlink>
            <w:bookmarkEnd w:id="373"/>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 xml:space="preserve">For another case in the same vein, see </w:t>
            </w:r>
            <w:hyperlink r:id="r131">
              <w:r>
                <w:rPr>
                  <w:rFonts w:ascii="Times New Roman" w:hAnsi="Times New Roman"/>
                  <w:color w:val="006fc4"/>
                  <w:sz w:val="18"/>
                </w:rPr>
                <w:t>United States v. Azzarelli Constr. Co., 647 F.2d 757 (7th Cir. 1981)</w:t>
              </w:r>
            </w:hyperlink>
            <w:r>
              <w:rPr>
                <w:rFonts w:ascii="Times New Roman" w:hAnsi="Times New Roman"/>
                <w:color w:val="1f1f1f"/>
                <w:sz w:val="18"/>
              </w:rPr>
              <w:t xml:space="preserve"> (holding that the United States was judicially estopped from bringing a suit when it had argued in another action that a state could bring such a suit). But see Wright, supra note 9, § 4477, at 750 (criticizing Azzarelli).</w:t>
            </w:r>
          </w:p>
        </w:tc>
      </w:tr>
      <w:tr>
        <w:tblPrEx/>
        <w:trPr/>
        <w:tc>
          <w:tcPr>
            <w:vAlign w:val="top"/>
          </w:tcPr>
          <w:p>
            <w:pPr>
              <w:spacing w:before="0" w:after="0" w:line="275" w:lineRule="atLeast"/>
            </w:pPr>
            <w:bookmarkStart w:id="374" w:name="co_footnote_F136110408358_1"/>
            <w:hyperlink w:anchor="co_fnRef_F136110408358_ID0EGYAG_1">
              <w:r>
                <w:rPr>
                  <w:rFonts w:ascii="Times New Roman" w:hAnsi="Times New Roman"/>
                  <w:color w:val="006fc4"/>
                  <w:sz w:val="18"/>
                  <w:vertAlign w:val="superscript"/>
                </w:rPr>
                <w:t>136</w:t>
              </w:r>
            </w:hyperlink>
            <w:bookmarkEnd w:id="374"/>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This point is further developed in Plumer, supra note 11, at 422-23.</w:t>
            </w:r>
          </w:p>
        </w:tc>
      </w:tr>
      <w:tr>
        <w:tblPrEx/>
        <w:trPr/>
        <w:tc>
          <w:tcPr>
            <w:vAlign w:val="top"/>
          </w:tcPr>
          <w:p>
            <w:pPr>
              <w:spacing w:before="0" w:after="0" w:line="275" w:lineRule="atLeast"/>
            </w:pPr>
            <w:bookmarkStart w:id="375" w:name="co_footnote_F137110408358_1"/>
            <w:hyperlink w:anchor="co_fnRef_F137110408358_ID0EAZAG_1">
              <w:r>
                <w:rPr>
                  <w:rFonts w:ascii="Times New Roman" w:hAnsi="Times New Roman"/>
                  <w:color w:val="006fc4"/>
                  <w:sz w:val="18"/>
                  <w:vertAlign w:val="superscript"/>
                </w:rPr>
                <w:t>137</w:t>
              </w:r>
            </w:hyperlink>
            <w:bookmarkEnd w:id="375"/>
          </w:p>
        </w:tc>
        <w:tc>
          <w:tcPr>
            <w:tcMar>
              <w:top w:w="90" w:type="dxa"/>
              <w:bottom w:w="90" w:type="dxa"/>
            </w:tcMar>
            <w:vAlign w:val="top"/>
          </w:tcPr>
          <w:p>
            <w:pPr>
              <w:pBdr>
                <w:bottom w:val="none" w:space="8"/>
              </w:pBdr>
              <w:spacing w:before="0" w:after="0" w:line="255" w:lineRule="atLeast"/>
              <w:jc w:val="both"/>
            </w:pPr>
            <w:hyperlink r:id="r132">
              <w:r>
                <w:rPr>
                  <w:rFonts w:ascii="Times New Roman" w:hAnsi="Times New Roman"/>
                  <w:color w:val="006fc4"/>
                  <w:sz w:val="18"/>
                </w:rPr>
                <w:t>739 F.2d 26 (1st Cir. 1984)</w:t>
              </w:r>
            </w:hyperlink>
            <w:r>
              <w:rPr>
                <w:rFonts w:ascii="Times New Roman" w:hAnsi="Times New Roman"/>
                <w:color w:val="1f1f1f"/>
                <w:sz w:val="18"/>
              </w:rPr>
              <w:t>.</w:t>
            </w:r>
          </w:p>
        </w:tc>
      </w:tr>
      <w:tr>
        <w:tblPrEx/>
        <w:trPr/>
        <w:tc>
          <w:tcPr>
            <w:vAlign w:val="top"/>
          </w:tcPr>
          <w:p>
            <w:pPr>
              <w:spacing w:before="0" w:after="0" w:line="275" w:lineRule="atLeast"/>
            </w:pPr>
            <w:bookmarkStart w:id="376" w:name="co_footnote_F138110408358_1"/>
            <w:hyperlink w:anchor="co_fnRef_F138110408358_ID0EFZAG_1">
              <w:r>
                <w:rPr>
                  <w:rFonts w:ascii="Times New Roman" w:hAnsi="Times New Roman"/>
                  <w:color w:val="006fc4"/>
                  <w:sz w:val="18"/>
                  <w:vertAlign w:val="superscript"/>
                </w:rPr>
                <w:t>138</w:t>
              </w:r>
            </w:hyperlink>
            <w:bookmarkEnd w:id="376"/>
          </w:p>
        </w:tc>
        <w:tc>
          <w:tcPr>
            <w:tcMar>
              <w:top w:w="90" w:type="dxa"/>
              <w:bottom w:w="90" w:type="dxa"/>
            </w:tcMar>
            <w:vAlign w:val="top"/>
          </w:tcPr>
          <w:p>
            <w:pPr>
              <w:pBdr>
                <w:bottom w:val="none" w:space="8"/>
              </w:pBdr>
              <w:spacing w:before="0" w:after="0" w:line="255" w:lineRule="atLeast"/>
              <w:jc w:val="both"/>
            </w:pPr>
            <w:hyperlink r:id="r133">
              <w:r>
                <w:rPr>
                  <w:rFonts w:ascii="Times New Roman" w:hAnsi="Times New Roman"/>
                  <w:color w:val="006fc4"/>
                  <w:sz w:val="18"/>
                </w:rPr>
                <w:t>Id. at 30.</w:t>
              </w:r>
            </w:hyperlink>
          </w:p>
        </w:tc>
      </w:tr>
      <w:tr>
        <w:tblPrEx/>
        <w:trPr/>
        <w:tc>
          <w:tcPr>
            <w:vAlign w:val="top"/>
          </w:tcPr>
          <w:p>
            <w:pPr>
              <w:spacing w:before="0" w:after="0" w:line="275" w:lineRule="atLeast"/>
            </w:pPr>
            <w:bookmarkStart w:id="377" w:name="co_footnote_F139110408358_1"/>
            <w:hyperlink w:anchor="co_fnRef_F139110408358_ID0EKZAG_1">
              <w:r>
                <w:rPr>
                  <w:rFonts w:ascii="Times New Roman" w:hAnsi="Times New Roman"/>
                  <w:color w:val="006fc4"/>
                  <w:sz w:val="18"/>
                  <w:vertAlign w:val="superscript"/>
                </w:rPr>
                <w:t>139</w:t>
              </w:r>
            </w:hyperlink>
            <w:bookmarkEnd w:id="377"/>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 xml:space="preserve">See </w:t>
            </w:r>
            <w:hyperlink r:id="r134">
              <w:r>
                <w:rPr>
                  <w:rFonts w:ascii="Times New Roman" w:hAnsi="Times New Roman"/>
                  <w:color w:val="006fc4"/>
                  <w:sz w:val="18"/>
                </w:rPr>
                <w:t>id. at 30.</w:t>
              </w:r>
            </w:hyperlink>
            <w:r>
              <w:rPr>
                <w:rFonts w:ascii="Times New Roman" w:hAnsi="Times New Roman"/>
                <w:color w:val="1f1f1f"/>
                <w:sz w:val="18"/>
              </w:rPr>
              <w:t xml:space="preserve"> This case is not a true judicial estoppel case because the inconsistency is in the same case, but the court purports to rely on judicial estoppel case law.</w:t>
            </w:r>
          </w:p>
        </w:tc>
      </w:tr>
      <w:tr>
        <w:tblPrEx/>
        <w:trPr/>
        <w:tc>
          <w:tcPr>
            <w:vAlign w:val="top"/>
          </w:tcPr>
          <w:p>
            <w:pPr>
              <w:spacing w:before="0" w:after="0" w:line="275" w:lineRule="atLeast"/>
            </w:pPr>
            <w:bookmarkStart w:id="378" w:name="co_footnote_F140110408358_1"/>
            <w:hyperlink w:anchor="co_fnRef_F140110408358_ID0EPZAG_1">
              <w:r>
                <w:rPr>
                  <w:rFonts w:ascii="Times New Roman" w:hAnsi="Times New Roman"/>
                  <w:color w:val="006fc4"/>
                  <w:sz w:val="18"/>
                  <w:vertAlign w:val="superscript"/>
                </w:rPr>
                <w:t>140</w:t>
              </w:r>
            </w:hyperlink>
            <w:bookmarkEnd w:id="378"/>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See Wright, supra note 9, § 4477, at 727 (Supp. 1997).</w:t>
            </w:r>
          </w:p>
        </w:tc>
      </w:tr>
      <w:tr>
        <w:tblPrEx/>
        <w:trPr/>
        <w:tc>
          <w:tcPr>
            <w:vAlign w:val="top"/>
          </w:tcPr>
          <w:p>
            <w:pPr>
              <w:spacing w:before="0" w:after="0" w:line="275" w:lineRule="atLeast"/>
            </w:pPr>
            <w:bookmarkStart w:id="379" w:name="co_footnote_F141110408358_1"/>
            <w:hyperlink w:anchor="co_fnRef_F141110408358_ID0E1ZAG_1">
              <w:r>
                <w:rPr>
                  <w:rFonts w:ascii="Times New Roman" w:hAnsi="Times New Roman"/>
                  <w:color w:val="006fc4"/>
                  <w:sz w:val="18"/>
                  <w:vertAlign w:val="superscript"/>
                </w:rPr>
                <w:t>141</w:t>
              </w:r>
            </w:hyperlink>
            <w:bookmarkEnd w:id="379"/>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See Coleman &amp; Lynn, supra note 96, § 22.</w:t>
            </w:r>
          </w:p>
        </w:tc>
      </w:tr>
      <w:tr>
        <w:tblPrEx/>
        <w:trPr/>
        <w:tc>
          <w:tcPr>
            <w:vAlign w:val="top"/>
          </w:tcPr>
          <w:p>
            <w:pPr>
              <w:spacing w:before="0" w:after="0" w:line="275" w:lineRule="atLeast"/>
            </w:pPr>
            <w:bookmarkStart w:id="380" w:name="co_footnote_F142110408358_1"/>
            <w:hyperlink w:anchor="co_fnRef_F142110408358_ID0EH1AG_1">
              <w:r>
                <w:rPr>
                  <w:rFonts w:ascii="Times New Roman" w:hAnsi="Times New Roman"/>
                  <w:color w:val="006fc4"/>
                  <w:sz w:val="18"/>
                  <w:vertAlign w:val="superscript"/>
                </w:rPr>
                <w:t>142</w:t>
              </w:r>
            </w:hyperlink>
            <w:bookmarkEnd w:id="380"/>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See supra notes 73-74 and accompanying text.</w:t>
            </w:r>
          </w:p>
        </w:tc>
      </w:tr>
      <w:tr>
        <w:tblPrEx/>
        <w:trPr/>
        <w:tc>
          <w:tcPr>
            <w:vAlign w:val="top"/>
          </w:tcPr>
          <w:p>
            <w:pPr>
              <w:spacing w:before="0" w:after="0" w:line="275" w:lineRule="atLeast"/>
            </w:pPr>
            <w:bookmarkStart w:id="381" w:name="co_footnote_F143110408358_1"/>
            <w:hyperlink w:anchor="co_fnRef_F143110408358_ID0E51AG_1">
              <w:r>
                <w:rPr>
                  <w:rFonts w:ascii="Times New Roman" w:hAnsi="Times New Roman"/>
                  <w:color w:val="006fc4"/>
                  <w:sz w:val="18"/>
                  <w:vertAlign w:val="superscript"/>
                </w:rPr>
                <w:t>143</w:t>
              </w:r>
            </w:hyperlink>
            <w:bookmarkEnd w:id="381"/>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The parallel cases in Parkinson illustrate this observation. See supra notes 131-36 and accompanying text.</w:t>
            </w:r>
          </w:p>
        </w:tc>
      </w:tr>
      <w:tr>
        <w:tblPrEx/>
        <w:trPr/>
        <w:tc>
          <w:tcPr>
            <w:vAlign w:val="top"/>
          </w:tcPr>
          <w:p>
            <w:pPr>
              <w:spacing w:before="0" w:after="0" w:line="275" w:lineRule="atLeast"/>
            </w:pPr>
            <w:bookmarkStart w:id="382" w:name="co_footnote_F144110408358_1"/>
            <w:hyperlink w:anchor="co_fnRef_F144110408358_ID0EP2AG_1">
              <w:r>
                <w:rPr>
                  <w:rFonts w:ascii="Times New Roman" w:hAnsi="Times New Roman"/>
                  <w:color w:val="006fc4"/>
                  <w:sz w:val="18"/>
                  <w:vertAlign w:val="superscript"/>
                </w:rPr>
                <w:t>144</w:t>
              </w:r>
            </w:hyperlink>
            <w:bookmarkEnd w:id="382"/>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 xml:space="preserve">See, e.g., </w:t>
            </w:r>
            <w:hyperlink r:id="r135">
              <w:r>
                <w:rPr>
                  <w:rFonts w:ascii="Times New Roman" w:hAnsi="Times New Roman"/>
                  <w:color w:val="006fc4"/>
                  <w:sz w:val="18"/>
                </w:rPr>
                <w:t>Federal Deposit Ins. Corp. v. CNA Cas. of Puerto Rico, 786 F. Supp. 1082, 1086 (D.P.R. 1991)</w:t>
              </w:r>
            </w:hyperlink>
            <w:r>
              <w:rPr>
                <w:rFonts w:ascii="Times New Roman" w:hAnsi="Times New Roman"/>
                <w:color w:val="1f1f1f"/>
                <w:sz w:val="18"/>
              </w:rPr>
              <w:t xml:space="preserve"> (“The doctrine is applied only when the positions are truly inconsistent--that is, the truth of one must necessarily preclude the truth of the other. In order to utilize the doctrine, the two positions in question must be diametrically opposed.”)(footnote omitted); see also supra notes 42-52 and accompanying text.</w:t>
            </w:r>
          </w:p>
        </w:tc>
      </w:tr>
      <w:tr>
        <w:tblPrEx/>
        <w:trPr/>
        <w:tc>
          <w:tcPr>
            <w:vAlign w:val="top"/>
          </w:tcPr>
          <w:p>
            <w:pPr>
              <w:spacing w:before="0" w:after="0" w:line="275" w:lineRule="atLeast"/>
            </w:pPr>
            <w:bookmarkStart w:id="383" w:name="co_footnote_F145110408358_1"/>
            <w:hyperlink w:anchor="co_fnRef_F145110408358_ID0ES2AG_1">
              <w:r>
                <w:rPr>
                  <w:rFonts w:ascii="Times New Roman" w:hAnsi="Times New Roman"/>
                  <w:color w:val="006fc4"/>
                  <w:sz w:val="18"/>
                  <w:vertAlign w:val="superscript"/>
                </w:rPr>
                <w:t>145</w:t>
              </w:r>
            </w:hyperlink>
            <w:bookmarkEnd w:id="383"/>
          </w:p>
        </w:tc>
        <w:tc>
          <w:tcPr>
            <w:tcMar>
              <w:top w:w="90" w:type="dxa"/>
              <w:bottom w:w="90" w:type="dxa"/>
            </w:tcMar>
            <w:vAlign w:val="top"/>
          </w:tcPr>
          <w:p>
            <w:pPr>
              <w:pBdr>
                <w:bottom w:val="none" w:space="8"/>
              </w:pBdr>
              <w:spacing w:before="0" w:after="0" w:line="255" w:lineRule="atLeast"/>
              <w:jc w:val="both"/>
            </w:pPr>
            <w:hyperlink r:id="r136">
              <w:r>
                <w:rPr>
                  <w:rFonts w:ascii="Times New Roman" w:hAnsi="Times New Roman"/>
                  <w:color w:val="006fc4"/>
                  <w:sz w:val="18"/>
                </w:rPr>
                <w:t>92 F.3d 219 (4th Cir. 1996)</w:t>
              </w:r>
            </w:hyperlink>
            <w:r>
              <w:rPr>
                <w:rFonts w:ascii="Times New Roman" w:hAnsi="Times New Roman"/>
                <w:color w:val="1f1f1f"/>
                <w:sz w:val="18"/>
              </w:rPr>
              <w:t>.</w:t>
            </w:r>
          </w:p>
        </w:tc>
      </w:tr>
      <w:tr>
        <w:tblPrEx/>
        <w:trPr/>
        <w:tc>
          <w:tcPr>
            <w:vAlign w:val="top"/>
          </w:tcPr>
          <w:p>
            <w:pPr>
              <w:spacing w:before="0" w:after="0" w:line="275" w:lineRule="atLeast"/>
            </w:pPr>
            <w:bookmarkStart w:id="384" w:name="co_footnote_F146110408358_1"/>
            <w:hyperlink w:anchor="co_fnRef_F146110408358_ID0EX2AG_1">
              <w:r>
                <w:rPr>
                  <w:rFonts w:ascii="Times New Roman" w:hAnsi="Times New Roman"/>
                  <w:color w:val="006fc4"/>
                  <w:sz w:val="18"/>
                  <w:vertAlign w:val="superscript"/>
                </w:rPr>
                <w:t>146</w:t>
              </w:r>
            </w:hyperlink>
            <w:bookmarkEnd w:id="384"/>
          </w:p>
        </w:tc>
        <w:tc>
          <w:tcPr>
            <w:tcMar>
              <w:top w:w="90" w:type="dxa"/>
              <w:bottom w:w="90" w:type="dxa"/>
            </w:tcMar>
            <w:vAlign w:val="top"/>
          </w:tcPr>
          <w:p>
            <w:pPr>
              <w:pBdr>
                <w:bottom w:val="none" w:space="8"/>
              </w:pBdr>
              <w:spacing w:before="0" w:after="0" w:line="255" w:lineRule="atLeast"/>
              <w:jc w:val="both"/>
            </w:pPr>
            <w:hyperlink r:id="r137">
              <w:r>
                <w:rPr>
                  <w:rFonts w:ascii="Times New Roman" w:hAnsi="Times New Roman"/>
                  <w:color w:val="006fc4"/>
                  <w:sz w:val="18"/>
                </w:rPr>
                <w:t>Id. at 224.</w:t>
              </w:r>
            </w:hyperlink>
          </w:p>
        </w:tc>
      </w:tr>
      <w:tr>
        <w:tblPrEx/>
        <w:trPr/>
        <w:tc>
          <w:tcPr>
            <w:vAlign w:val="top"/>
          </w:tcPr>
          <w:p>
            <w:pPr>
              <w:spacing w:before="0" w:after="0" w:line="275" w:lineRule="atLeast"/>
            </w:pPr>
            <w:bookmarkStart w:id="385" w:name="co_footnote_F147110408358_1"/>
            <w:hyperlink w:anchor="co_fnRef_F147110408358_ID0E32AG_1">
              <w:r>
                <w:rPr>
                  <w:rFonts w:ascii="Times New Roman" w:hAnsi="Times New Roman"/>
                  <w:color w:val="006fc4"/>
                  <w:sz w:val="18"/>
                  <w:vertAlign w:val="superscript"/>
                </w:rPr>
                <w:t>147</w:t>
              </w:r>
            </w:hyperlink>
            <w:bookmarkEnd w:id="385"/>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See id.</w:t>
            </w:r>
          </w:p>
        </w:tc>
      </w:tr>
      <w:tr>
        <w:tblPrEx/>
        <w:trPr/>
        <w:tc>
          <w:tcPr>
            <w:vAlign w:val="top"/>
          </w:tcPr>
          <w:p>
            <w:pPr>
              <w:spacing w:before="0" w:after="0" w:line="275" w:lineRule="atLeast"/>
            </w:pPr>
            <w:bookmarkStart w:id="386" w:name="co_footnote_F148110408358_1"/>
            <w:hyperlink w:anchor="co_fnRef_F148110408358_ID0EB3AG_1">
              <w:r>
                <w:rPr>
                  <w:rFonts w:ascii="Times New Roman" w:hAnsi="Times New Roman"/>
                  <w:color w:val="006fc4"/>
                  <w:sz w:val="18"/>
                  <w:vertAlign w:val="superscript"/>
                </w:rPr>
                <w:t>148</w:t>
              </w:r>
            </w:hyperlink>
            <w:bookmarkEnd w:id="386"/>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 xml:space="preserve">See, e.g., </w:t>
            </w:r>
            <w:hyperlink r:id="r138">
              <w:r>
                <w:rPr>
                  <w:rFonts w:ascii="Times New Roman" w:hAnsi="Times New Roman"/>
                  <w:color w:val="006fc4"/>
                  <w:sz w:val="18"/>
                </w:rPr>
                <w:t>Pioneer Chlor Alkali Co., Inc. v. National Union Fire Ins. Co. of Pittsburgh, 863 F. Supp. 1226, 1229-30 n.2 (D. Nev. 1994)</w:t>
              </w:r>
            </w:hyperlink>
            <w:r>
              <w:rPr>
                <w:rFonts w:ascii="Times New Roman" w:hAnsi="Times New Roman"/>
                <w:color w:val="1f1f1f"/>
                <w:sz w:val="18"/>
              </w:rPr>
              <w:t xml:space="preserve"> (holding collateral estoppel not applicable when argument on a previous issue is not inconsistent with argument of a present issue); </w:t>
            </w:r>
            <w:hyperlink r:id="r139">
              <w:r>
                <w:rPr>
                  <w:rFonts w:ascii="Times New Roman" w:hAnsi="Times New Roman"/>
                  <w:color w:val="006fc4"/>
                  <w:sz w:val="18"/>
                </w:rPr>
                <w:t>Pennsylvania Pharm. Ass'n v. Casey, 800 F. Supp. 173, 176 (M.D. Pa. 1992)</w:t>
              </w:r>
            </w:hyperlink>
            <w:r>
              <w:rPr>
                <w:rFonts w:ascii="Times New Roman" w:hAnsi="Times New Roman"/>
                <w:color w:val="1f1f1f"/>
                <w:sz w:val="18"/>
              </w:rPr>
              <w:t xml:space="preserve"> (holding the doctrine not applicable when positions were not incompatible).</w:t>
            </w:r>
          </w:p>
        </w:tc>
      </w:tr>
      <w:tr>
        <w:tblPrEx/>
        <w:trPr/>
        <w:tc>
          <w:tcPr>
            <w:vAlign w:val="top"/>
          </w:tcPr>
          <w:p>
            <w:pPr>
              <w:spacing w:before="0" w:after="0" w:line="275" w:lineRule="atLeast"/>
            </w:pPr>
            <w:bookmarkStart w:id="387" w:name="co_footnote_F149110408358_1"/>
            <w:hyperlink w:anchor="co_fnRef_F149110408358_ID0EY3AG_1">
              <w:r>
                <w:rPr>
                  <w:rFonts w:ascii="Times New Roman" w:hAnsi="Times New Roman"/>
                  <w:color w:val="006fc4"/>
                  <w:sz w:val="18"/>
                  <w:vertAlign w:val="superscript"/>
                </w:rPr>
                <w:t>149</w:t>
              </w:r>
            </w:hyperlink>
            <w:bookmarkEnd w:id="387"/>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 xml:space="preserve">See generally Henkin, supra note 7, at 1719-24 (illustrating the differences in judicial estoppel in Tennessee, Texas, Alabama, Massachusetts, South Carolina, and Louisiana); see also </w:t>
            </w:r>
            <w:hyperlink r:id="r140">
              <w:r>
                <w:rPr>
                  <w:rFonts w:ascii="Times New Roman" w:hAnsi="Times New Roman"/>
                  <w:color w:val="006fc4"/>
                  <w:sz w:val="18"/>
                </w:rPr>
                <w:t>Konstantinidis v. Chen, 626 F.2d 933, 938 (D.C. Cir. 1980)</w:t>
              </w:r>
            </w:hyperlink>
            <w:r>
              <w:rPr>
                <w:rFonts w:ascii="Times New Roman" w:hAnsi="Times New Roman"/>
                <w:color w:val="1f1f1f"/>
                <w:sz w:val="18"/>
              </w:rPr>
              <w:t xml:space="preserve"> (noting that the definition of judicial estoppel, as well as that of equitable estoppel, varies “considerably throughout the literature of this confused area of the law”).</w:t>
            </w:r>
          </w:p>
        </w:tc>
      </w:tr>
      <w:tr>
        <w:tblPrEx/>
        <w:trPr/>
        <w:tc>
          <w:tcPr>
            <w:vAlign w:val="top"/>
          </w:tcPr>
          <w:p>
            <w:pPr>
              <w:spacing w:before="0" w:after="0" w:line="275" w:lineRule="atLeast"/>
            </w:pPr>
            <w:bookmarkStart w:id="388" w:name="co_footnote_F150110408358_1"/>
            <w:hyperlink w:anchor="co_fnRef_F150110408358_ID0E23AG_1">
              <w:r>
                <w:rPr>
                  <w:rFonts w:ascii="Times New Roman" w:hAnsi="Times New Roman"/>
                  <w:color w:val="006fc4"/>
                  <w:sz w:val="18"/>
                  <w:vertAlign w:val="superscript"/>
                </w:rPr>
                <w:t>150</w:t>
              </w:r>
            </w:hyperlink>
            <w:bookmarkEnd w:id="388"/>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See generally Moore, supra note 9, at § 134.34[2] (stating that judicial estoppel raises questions under the Eriedoctrine); Deeks, supra note 12, at 882-86 (noting that the proposed solution bypasses debate concerning whether judicial estoppel should be treated as substantive or procedural).</w:t>
            </w:r>
          </w:p>
        </w:tc>
      </w:tr>
      <w:tr>
        <w:tblPrEx/>
        <w:trPr/>
        <w:tc>
          <w:tcPr>
            <w:vAlign w:val="top"/>
          </w:tcPr>
          <w:p>
            <w:pPr>
              <w:spacing w:before="0" w:after="0" w:line="275" w:lineRule="atLeast"/>
            </w:pPr>
            <w:bookmarkStart w:id="389" w:name="co_footnote_F151110408358_1"/>
            <w:hyperlink w:anchor="co_fnRef_F151110408358_ID0EA4AG_1">
              <w:r>
                <w:rPr>
                  <w:rFonts w:ascii="Times New Roman" w:hAnsi="Times New Roman"/>
                  <w:color w:val="006fc4"/>
                  <w:sz w:val="18"/>
                  <w:vertAlign w:val="superscript"/>
                </w:rPr>
                <w:t>151</w:t>
              </w:r>
            </w:hyperlink>
            <w:bookmarkEnd w:id="389"/>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 xml:space="preserve">See </w:t>
            </w:r>
            <w:hyperlink r:id="r141">
              <w:r>
                <w:rPr>
                  <w:rFonts w:ascii="Times New Roman" w:hAnsi="Times New Roman"/>
                  <w:color w:val="006fc4"/>
                  <w:sz w:val="18"/>
                </w:rPr>
                <w:t>Muellner v. Mars, Inc., 714 F. Supp. 351, 356 (N.D. Ill. 1989)</w:t>
              </w:r>
            </w:hyperlink>
            <w:r>
              <w:rPr>
                <w:rFonts w:ascii="Times New Roman" w:hAnsi="Times New Roman"/>
                <w:color w:val="1f1f1f"/>
                <w:sz w:val="18"/>
              </w:rPr>
              <w:t xml:space="preserve"> (“stating that [w]hether federal or state judicial estoppel law applies in diversity cases varies from circuit to circuit”).</w:t>
            </w:r>
          </w:p>
        </w:tc>
      </w:tr>
      <w:tr>
        <w:tblPrEx/>
        <w:trPr/>
        <w:tc>
          <w:tcPr>
            <w:vAlign w:val="top"/>
          </w:tcPr>
          <w:p>
            <w:pPr>
              <w:spacing w:before="0" w:after="0" w:line="275" w:lineRule="atLeast"/>
            </w:pPr>
            <w:bookmarkStart w:id="390" w:name="co_footnote_F152110408358_1"/>
            <w:hyperlink w:anchor="co_fnRef_F152110408358_ID0EI4AG_1">
              <w:r>
                <w:rPr>
                  <w:rFonts w:ascii="Times New Roman" w:hAnsi="Times New Roman"/>
                  <w:color w:val="006fc4"/>
                  <w:sz w:val="18"/>
                  <w:vertAlign w:val="superscript"/>
                </w:rPr>
                <w:t>152</w:t>
              </w:r>
            </w:hyperlink>
            <w:bookmarkEnd w:id="390"/>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See supra notes 25-30 and accompanying text.</w:t>
            </w:r>
          </w:p>
        </w:tc>
      </w:tr>
      <w:tr>
        <w:tblPrEx/>
        <w:trPr/>
        <w:tc>
          <w:tcPr>
            <w:vAlign w:val="top"/>
          </w:tcPr>
          <w:p>
            <w:pPr>
              <w:spacing w:before="0" w:after="0" w:line="275" w:lineRule="atLeast"/>
            </w:pPr>
            <w:bookmarkStart w:id="391" w:name="co_footnote_F153110408358_1"/>
            <w:hyperlink w:anchor="co_fnRef_F153110408358_ID0EM4AG_1">
              <w:r>
                <w:rPr>
                  <w:rFonts w:ascii="Times New Roman" w:hAnsi="Times New Roman"/>
                  <w:color w:val="006fc4"/>
                  <w:sz w:val="18"/>
                  <w:vertAlign w:val="superscript"/>
                </w:rPr>
                <w:t>153</w:t>
              </w:r>
            </w:hyperlink>
            <w:bookmarkEnd w:id="391"/>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See supra notes 42-52 and accompanying text.</w:t>
            </w:r>
          </w:p>
        </w:tc>
      </w:tr>
      <w:tr>
        <w:tblPrEx/>
        <w:trPr/>
        <w:tc>
          <w:tcPr>
            <w:vAlign w:val="top"/>
          </w:tcPr>
          <w:p>
            <w:pPr>
              <w:spacing w:before="0" w:after="0" w:line="275" w:lineRule="atLeast"/>
            </w:pPr>
            <w:bookmarkStart w:id="392" w:name="co_footnote_F154110408358_1"/>
            <w:hyperlink w:anchor="co_fnRef_F154110408358_ID0E24AG_1">
              <w:r>
                <w:rPr>
                  <w:rFonts w:ascii="Times New Roman" w:hAnsi="Times New Roman"/>
                  <w:color w:val="006fc4"/>
                  <w:sz w:val="18"/>
                  <w:vertAlign w:val="superscript"/>
                </w:rPr>
                <w:t>154</w:t>
              </w:r>
            </w:hyperlink>
            <w:bookmarkEnd w:id="392"/>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See Wright, supra note 9, at 783-84 (1998 Supp.) (listing inadvertence, discovery of new information, and public policy as examples of necessary exceptions to the doctrine).</w:t>
            </w:r>
          </w:p>
        </w:tc>
      </w:tr>
      <w:tr>
        <w:tblPrEx/>
        <w:trPr/>
        <w:tc>
          <w:tcPr>
            <w:vAlign w:val="top"/>
          </w:tcPr>
          <w:p>
            <w:pPr>
              <w:spacing w:before="0" w:after="0" w:line="275" w:lineRule="atLeast"/>
            </w:pPr>
            <w:bookmarkStart w:id="393" w:name="co_footnote_F155110408358_1"/>
            <w:hyperlink w:anchor="co_fnRef_F155110408358_ID0E54AG_1">
              <w:r>
                <w:rPr>
                  <w:rFonts w:ascii="Times New Roman" w:hAnsi="Times New Roman"/>
                  <w:color w:val="006fc4"/>
                  <w:sz w:val="18"/>
                  <w:vertAlign w:val="superscript"/>
                </w:rPr>
                <w:t>155</w:t>
              </w:r>
            </w:hyperlink>
            <w:bookmarkEnd w:id="393"/>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 xml:space="preserve">See </w:t>
            </w:r>
            <w:hyperlink r:id="r142">
              <w:r>
                <w:rPr>
                  <w:rFonts w:ascii="Times New Roman" w:hAnsi="Times New Roman"/>
                  <w:color w:val="006fc4"/>
                  <w:sz w:val="18"/>
                </w:rPr>
                <w:t>Chambers v. NASCO, Inc., 501 U.S. 32, 50-51 (1991)</w:t>
              </w:r>
            </w:hyperlink>
            <w:r>
              <w:rPr>
                <w:rFonts w:ascii="Times New Roman" w:hAnsi="Times New Roman"/>
                <w:color w:val="1f1f1f"/>
                <w:sz w:val="18"/>
              </w:rPr>
              <w:t xml:space="preserve"> (holding that the trial court did not need to apply rules and statutes before invoking its inherent powers when all of a litigant's conduct is deemed sanctionable and in bad faith).</w:t>
            </w:r>
          </w:p>
        </w:tc>
      </w:tr>
      <w:tr>
        <w:tblPrEx/>
        <w:trPr/>
        <w:tc>
          <w:tcPr>
            <w:vAlign w:val="top"/>
          </w:tcPr>
          <w:p>
            <w:pPr>
              <w:spacing w:before="0" w:after="0" w:line="275" w:lineRule="atLeast"/>
            </w:pPr>
            <w:bookmarkStart w:id="394" w:name="co_footnote_F156110408358_1"/>
            <w:hyperlink w:anchor="co_fnRef_F156110408358_ID0E16AG_1">
              <w:r>
                <w:rPr>
                  <w:rFonts w:ascii="Times New Roman" w:hAnsi="Times New Roman"/>
                  <w:color w:val="006fc4"/>
                  <w:sz w:val="18"/>
                  <w:vertAlign w:val="superscript"/>
                </w:rPr>
                <w:t>156</w:t>
              </w:r>
            </w:hyperlink>
            <w:bookmarkEnd w:id="394"/>
          </w:p>
        </w:tc>
        <w:tc>
          <w:tcPr>
            <w:tcMar>
              <w:top w:w="90" w:type="dxa"/>
              <w:bottom w:w="90" w:type="dxa"/>
            </w:tcMar>
            <w:vAlign w:val="top"/>
          </w:tcPr>
          <w:p>
            <w:pPr>
              <w:pBdr>
                <w:bottom w:val="none" w:space="8"/>
              </w:pBdr>
              <w:spacing w:before="0" w:after="0" w:line="255" w:lineRule="atLeast"/>
              <w:jc w:val="both"/>
            </w:pPr>
            <w:r>
              <w:rPr>
                <w:rFonts w:ascii="Times New Roman" w:hAnsi="Times New Roman"/>
                <w:color w:val="1f1f1f"/>
                <w:sz w:val="18"/>
              </w:rPr>
              <w:t>See supra Part III.B.1.</w:t>
            </w:r>
          </w:p>
        </w:tc>
      </w:tr>
    </w:tbl>
    <w:p>
      <w:pPr>
        <w:spacing w:before="184" w:after="0" w:line="240" w:lineRule="auto"/>
        <w:jc w:val="center"/>
      </w:pPr>
      <w:r>
        <w:rPr>
          <w:rFonts w:ascii="Georgia" w:hAnsi="Georgia"/>
          <w:color w:val="1f1f1f"/>
          <w:sz w:val="20"/>
        </w:rPr>
        <w:t>18 REVLITIG 1</w:t>
      </w:r>
    </w:p>
    <w:p>
      <w:pPr>
        <w:spacing w:before="0" w:after="0" w:line="240" w:lineRule="auto"/>
        <w:rPr>
          <w:sz w:val="35"/>
        </w:rPr>
      </w:pPr>
    </w:p>
    <w:tbl>
      <w:tblPr>
        <w:tblInd w:w="24" w:type="dxa"/>
        <w:tblLayout w:type="fixed"/>
      </w:tblPr>
      <w:tblGrid>
        <w:gridCol w:w="4305"/>
        <w:gridCol w:w="5745"/>
      </w:tblGrid>
      <w:bookmarkStart w:id="395" w:name="co_endOfDocument_1_1"/>
      <w:tr>
        <w:tblPrEx/>
        <w:trPr/>
        <w:tc>
          <w:tcPr>
            <w:tcBorders>
              <w:top w:val="single" w:sz="4" w:color="777777"/>
            </w:tcBorders>
            <w:tcMar>
              <w:top w:w="75" w:type="dxa"/>
              <w:left w:w="24" w:type="dxa"/>
              <w:right w:w="24" w:type="dxa"/>
            </w:tcMar>
            <w:vAlign w:val="top"/>
          </w:tcPr>
          <w:p>
            <w:pPr>
              <w:spacing w:before="0" w:after="0" w:line="235" w:lineRule="atLeast"/>
            </w:pPr>
            <w:r>
              <w:rPr>
                <w:rFonts w:ascii="Times New Roman" w:hAnsi="Times New Roman"/>
                <w:b/>
                <w:color w:val="777777"/>
                <w:sz w:val="16"/>
              </w:rPr>
              <w:t>End of Document</w:t>
            </w:r>
          </w:p>
        </w:tc>
        <w:tc>
          <w:tcPr>
            <w:tcBorders>
              <w:top w:val="single" w:sz="4" w:color="777777"/>
            </w:tcBorders>
            <w:tcMar>
              <w:top w:w="75" w:type="dxa"/>
              <w:left w:w="30" w:type="dxa"/>
              <w:right w:w="30" w:type="dxa"/>
            </w:tcMar>
            <w:vAlign w:val="top"/>
          </w:tcPr>
          <w:p>
            <w:pPr>
              <w:spacing w:before="0" w:after="0" w:line="235" w:lineRule="atLeast"/>
              <w:jc w:val="right"/>
            </w:pPr>
            <w:r>
              <w:rPr>
                <w:rFonts w:ascii="Times New Roman" w:hAnsi="Times New Roman"/>
                <w:color w:val="777777"/>
                <w:sz w:val="20"/>
              </w:rPr>
              <w:t>© 2026 Thomson Reuters. No claim to original U.S. Government Works.</w:t>
            </w:r>
          </w:p>
        </w:tc>
      </w:tr>
      <w:bookmarkEnd w:id="395"/>
    </w:tbl>
    <w:sectPr>
      <w:headerReference w:type="default" r:id="r5"/>
      <w:headerReference w:type="even" r:id="r5"/>
      <w:footerReference w:type="default" r:id="r6"/>
      <w:footerReference w:type="even" r:id="r6"/>
      <w:pgSz w:w="12240" w:h="15840"/>
      <w:pgMar w:top="1080" w:bottom="1080" w:left="1080" w:right="1080" w:header="0" w:footer="0" w:gutter="0"/>
      <w:pgNumType w:fmt="decimal" w:start="1"/>
    </w:sectPr>
  </w:body>
</w:document>
</file>

<file path=fonts.xml><?xml version="1.0" encoding="utf-8"?>
<w:fonts xmlns:w="http://schemas.openxmlformats.org/wordprocessingml/2006/main">
  <w:font w:name="Times New Roman">
    <w:family w:val="roman"/>
  </w:font>
  <w:font w:name="Arial">
    <w:family w:val="swiss"/>
  </w:font>
  <w:font w:name="Courier New">
    <w:family w:val="modern"/>
    <w:pitch w:val="fixed"/>
  </w:font>
  <w:font w:name="Georgia">
    <w:family w:val="roman"/>
  </w:font>
</w:fonts>
</file>

<file path=footer1.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w:tbl>
    <w:tblPr>
      <w:tblLayout w:type="fixed"/>
    </w:tblPr>
    <w:tblGrid>
      <w:gridCol w:w="9270"/>
      <w:gridCol w:w="690"/>
    </w:tblGrid>
    <w:tr>
      <w:tblPrEx/>
      <w:trPr/>
      <w:tc>
        <w:tcPr>
          <w:tcBorders>
            <w:top w:val="single" w:sz="6" w:color="aaaaaa"/>
          </w:tcBorders>
          <w:tcMar>
            <w:top w:w="60" w:type="dxa"/>
          </w:tcMar>
          <w:vAlign w:val="bottom"/>
        </w:tcPr>
        <w:p>
          <w:pPr>
            <w:spacing w:before="0" w:after="0" w:line="240" w:lineRule="auto"/>
          </w:pPr>
          <w:r>
            <w:rPr>
              <w:rFonts w:ascii="Arial" w:hAnsi="Arial"/>
              <w:color w:val="666666"/>
              <w:sz w:val="20"/>
            </w:rPr>
            <w:drawing>
              <wp:inline>
                <wp:extent cx="742950" cy="95250"/>
                <wp:docPr id="1" name="Picture 0" descr="Westlaw Logo"/>
                <a:graphic>
                  <a:graphicData uri="http://schemas.openxmlformats.org/drawingml/2006/picture">
                    <p:pic>
                      <p:nvPicPr>
                        <p:cNvPr id="2" name="Picture 0" descr="Westlaw Logo"/>
                        <p:cNvPicPr/>
                      </p:nvPicPr>
                      <p:blipFill>
                        <a:blip r:embed="r1"/>
                        <a:srcRect/>
                        <a:stretch>
                          <a:fillRect/>
                        </a:stretch>
                      </p:blipFill>
                      <p:spPr>
                        <a:xfrm>
                          <a:off x="0" y="0"/>
                          <a:ext cx="742950" cy="95250"/>
                        </a:xfrm>
                        <a:prstGeom prst="rect"/>
                      </p:spPr>
                    </p:pic>
                  </a:graphicData>
                </a:graphic>
              </wp:inline>
            </w:drawing>
          </w:r>
          <w:r>
            <w:rPr>
              <w:rFonts w:ascii="Arial" w:hAnsi="Arial"/>
              <w:color w:val="666666"/>
              <w:sz w:val="20"/>
            </w:rPr>
            <w:t xml:space="preserve"> © 2026 Thomson Reuters. No claim to original U.S. Government Works.</w:t>
          </w:r>
        </w:p>
      </w:tc>
      <w:tc>
        <w:tcPr>
          <w:tcBorders>
            <w:top w:val="single" w:sz="6" w:color="aaaaaa"/>
          </w:tcBorders>
          <w:tcMar>
            <w:top w:w="60" w:type="dxa"/>
          </w:tcMar>
          <w:vAlign w:val="top"/>
        </w:tcPr>
        <w:p>
          <w:pPr>
            <w:spacing w:before="0" w:after="0" w:line="240" w:lineRule="auto"/>
            <w:jc w:val="right"/>
          </w:pPr>
          <w:r>
            <w:rPr>
              <w:rFonts w:ascii="Arial" w:hAnsi="Arial"/>
              <w:color w:val="666666"/>
              <w:sz w:val="20"/>
            </w:rPr>
            <w:pgNum/>
          </w:r>
        </w:p>
      </w:tc>
    </w:tr>
  </w:tbl>
</w:ftr>
</file>

<file path=footnotes.xml><?xml version="1.0" encoding="utf-8"?>
<w:footnotes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w:footnotes>
</file>

<file path=header1.xml><?xml version="1.0" encoding="utf-8"?>
<w:hd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w:tbl>
    <w:tblPr>
      <w:tblLayout w:type="fixed"/>
    </w:tblPr>
    <w:tblGrid>
      <w:gridCol w:w="9360"/>
      <w:gridCol w:w="705"/>
    </w:tblGrid>
    <w:tr>
      <w:tblPrEx/>
      <w:trPr/>
      <w:tc>
        <w:tcPr>
          <w:tcBorders>
            <w:bottom w:val="single" w:sz="6" w:color="aaaaaa"/>
          </w:tcBorders>
          <w:tcMar>
            <w:top w:w="390" w:type="dxa"/>
            <w:bottom w:w="60" w:type="dxa"/>
          </w:tcMar>
          <w:vAlign w:val="bottom"/>
        </w:tcPr>
        <w:p>
          <w:pPr>
            <w:spacing w:before="0" w:after="0" w:line="240" w:lineRule="auto"/>
          </w:pPr>
          <w:r>
            <w:rPr>
              <w:rFonts w:ascii="Arial" w:hAnsi="Arial"/>
              <w:b/>
              <w:color w:val="555555"/>
              <w:sz w:val="18"/>
            </w:rPr>
            <w:t>A NEW FRAMEWORK FOR JUDICIAL ESTOPPEL, 18 Rev. Litig. 1</w:t>
          </w:r>
        </w:p>
      </w:tc>
      <w:tc>
        <w:tcPr>
          <w:tcBorders>
            <w:bottom w:val="single" w:sz="6" w:color="aaaaaa"/>
          </w:tcBorders>
          <w:tcMar>
            <w:top w:w="390" w:type="dxa"/>
            <w:bottom w:w="60" w:type="dxa"/>
          </w:tcMar>
          <w:vAlign w:val="top"/>
        </w:tcPr>
        <w:p>
          <w:pPr>
            <w:spacing w:before="0" w:after="0" w:line="240" w:lineRule="auto"/>
            <w:rPr>
              <w:rFonts w:ascii="Arial" w:hAnsi="Arial"/>
              <w:color w:val="000000"/>
              <w:sz w:val="18"/>
            </w:rPr>
          </w:pPr>
        </w:p>
      </w:tc>
    </w:tr>
    <w:tr>
      <w:tblPrEx/>
      <w:trPr/>
      <w:tc>
        <w:tcPr>
          <w:hMerge w:val="restart"/>
          <w:vAlign w:val="top"/>
        </w:tcPr>
        <w:p>
          <w:pPr>
            <w:spacing w:before="0" w:after="0" w:line="240" w:lineRule="auto"/>
            <w:rPr>
              <w:rFonts w:ascii="Arial" w:hAnsi="Arial"/>
              <w:color w:val="000000"/>
              <w:sz w:val="18"/>
            </w:rPr>
          </w:pPr>
        </w:p>
      </w:tc>
      <w:tc>
        <w:tcPr>
          <w:hMerge w:val="continue"/>
          <w:vAlign w:val="top"/>
        </w:tcPr>
        <w:p>
          <w:pPr>
            <w:spacing w:before="0" w:after="0" w:line="240" w:lineRule="auto"/>
            <w:rPr>
              <w:rFonts w:ascii="Arial" w:hAnsi="Arial"/>
              <w:color w:val="000000"/>
              <w:sz w:val="18"/>
            </w:rPr>
          </w:pPr>
        </w:p>
      </w:tc>
    </w:tr>
  </w:tbl>
  <w:p>
    <w:pPr>
      <w:spacing w:before="0" w:after="0" w:line="240" w:lineRule="auto"/>
    </w:pPr>
    <w:r>
      <w:rPr>
        <w:rFonts w:ascii="Arial" w:hAnsi="Arial"/>
        <w:color w:val="000000"/>
        <w:sz w:val="18"/>
      </w:rPr>
      <w:t xml:space="preserve"> </w:t>
    </w:r>
  </w:p>
</w:hdr>
</file>

<file path=numbering.xml><?xml version="1.0" encoding="utf-8"?>
<w:numbering xmlns:w="http://schemas.openxmlformats.org/wordprocessingml/2006/main">
</w:numbering>
</file>

<file path=settings.xml><?xml version="1.0" encoding="utf-8"?>
<w:settings xmlns:w="http://schemas.openxmlformats.org/wordprocessingml/2006/main">
  <w:view w:val="print"/>
  <w:bordersDoNotSurroundHeader/>
  <w:bordersDoNotSurroundFooter/>
  <w:evenAndOddHeaders/>
</w:settings>
</file>